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B63100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23</w:t>
      </w:r>
      <w:r w:rsidR="00471C2A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0B70">
        <w:rPr>
          <w:rFonts w:ascii="Times New Roman" w:hAnsi="Times New Roman" w:cs="Times New Roman"/>
          <w:bCs/>
          <w:sz w:val="24"/>
          <w:szCs w:val="24"/>
        </w:rPr>
        <w:tab/>
      </w:r>
      <w:r w:rsidR="00615727">
        <w:rPr>
          <w:rFonts w:ascii="Times New Roman" w:hAnsi="Times New Roman" w:cs="Times New Roman"/>
          <w:bCs/>
          <w:sz w:val="24"/>
          <w:szCs w:val="24"/>
        </w:rPr>
        <w:t>30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Cs/>
          <w:sz w:val="24"/>
          <w:szCs w:val="24"/>
        </w:rPr>
        <w:t>июня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61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61572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FB0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56CC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615727" w:rsidP="007C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EB1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86246A" w:rsidRPr="006C5759">
        <w:rPr>
          <w:rFonts w:ascii="Times New Roman" w:hAnsi="Times New Roman" w:cs="Times New Roman"/>
          <w:sz w:val="24"/>
          <w:szCs w:val="24"/>
        </w:rPr>
        <w:t>1</w:t>
      </w:r>
      <w:r w:rsidR="006C5759" w:rsidRPr="006C5759">
        <w:rPr>
          <w:rFonts w:ascii="Times New Roman" w:hAnsi="Times New Roman" w:cs="Times New Roman"/>
          <w:sz w:val="24"/>
          <w:szCs w:val="24"/>
        </w:rPr>
        <w:t>2</w:t>
      </w:r>
      <w:r w:rsidR="0086246A" w:rsidRPr="006C5759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6C5759">
        <w:rPr>
          <w:rFonts w:ascii="Times New Roman" w:hAnsi="Times New Roman" w:cs="Times New Roman"/>
          <w:sz w:val="24"/>
          <w:szCs w:val="24"/>
        </w:rPr>
        <w:t>(</w:t>
      </w:r>
      <w:r w:rsidR="006C5759" w:rsidRPr="006C5759">
        <w:rPr>
          <w:rFonts w:ascii="Times New Roman" w:hAnsi="Times New Roman" w:cs="Times New Roman"/>
          <w:sz w:val="24"/>
          <w:szCs w:val="24"/>
        </w:rPr>
        <w:t>двенадцати</w:t>
      </w:r>
      <w:r w:rsidR="004D6ACA" w:rsidRPr="006C5759">
        <w:rPr>
          <w:rFonts w:ascii="Times New Roman" w:hAnsi="Times New Roman" w:cs="Times New Roman"/>
          <w:sz w:val="24"/>
          <w:szCs w:val="24"/>
        </w:rPr>
        <w:t>)</w:t>
      </w:r>
      <w:r w:rsidR="00172875" w:rsidRPr="006C5759">
        <w:rPr>
          <w:rFonts w:ascii="Times New Roman" w:hAnsi="Times New Roman" w:cs="Times New Roman"/>
          <w:sz w:val="24"/>
          <w:szCs w:val="24"/>
        </w:rPr>
        <w:t xml:space="preserve"> </w:t>
      </w:r>
      <w:r w:rsidRPr="006C5759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6C5759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6C5759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6C5759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454DC1">
        <w:rPr>
          <w:rFonts w:ascii="Times New Roman" w:hAnsi="Times New Roman" w:cs="Times New Roman"/>
          <w:sz w:val="24"/>
          <w:szCs w:val="24"/>
        </w:rPr>
        <w:t>Совета</w:t>
      </w:r>
      <w:r w:rsidR="00013442" w:rsidRPr="0087607B">
        <w:rPr>
          <w:rFonts w:ascii="Times New Roman" w:hAnsi="Times New Roman" w:cs="Times New Roman"/>
          <w:sz w:val="24"/>
          <w:szCs w:val="24"/>
        </w:rPr>
        <w:t xml:space="preserve">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15727" w:rsidRDefault="00615727" w:rsidP="00615727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615727">
        <w:rPr>
          <w:rFonts w:ascii="Times New Roman" w:hAnsi="Times New Roman"/>
          <w:bCs/>
        </w:rPr>
        <w:t>Утверждение переноса срока проведения плановых проверок членов Союза со 2 квартала 2020 года на 3 квартал 2020 года и внесение изменений в план проведения плановых проверок членов Союза на 2020 год</w:t>
      </w:r>
      <w:r>
        <w:rPr>
          <w:rFonts w:ascii="Times New Roman" w:hAnsi="Times New Roman"/>
          <w:bCs/>
        </w:rPr>
        <w:t>.</w:t>
      </w:r>
    </w:p>
    <w:p w:rsidR="00615727" w:rsidRDefault="00615727" w:rsidP="00615727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615727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3C3B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615727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="00E66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727" w:rsidRPr="00615727">
        <w:rPr>
          <w:rFonts w:ascii="Times New Roman" w:hAnsi="Times New Roman" w:cs="Times New Roman"/>
          <w:b/>
          <w:bCs/>
          <w:sz w:val="24"/>
          <w:szCs w:val="24"/>
        </w:rPr>
        <w:t>Утверждение переноса срока проведения плановых проверок членов Союза со 2 квартала 2020 года на 3 квартал 2020 года и внесение изменений в план проведения плановых проверок членов Союза на 2020 год</w:t>
      </w:r>
      <w:r w:rsidR="00583C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C5759" w:rsidRPr="006C5759" w:rsidTr="00894189">
        <w:tc>
          <w:tcPr>
            <w:tcW w:w="2693" w:type="dxa"/>
            <w:hideMark/>
          </w:tcPr>
          <w:p w:rsidR="001D29D3" w:rsidRPr="006C5759" w:rsidRDefault="001D29D3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6C575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D29D3" w:rsidRPr="006C5759" w:rsidRDefault="001D29D3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6C575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D29D3" w:rsidRPr="006C5759" w:rsidRDefault="001D29D3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6C5759" w:rsidRDefault="0086246A" w:rsidP="006C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759"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28A0"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C5759" w:rsidRPr="006C5759" w:rsidTr="00894189">
        <w:tc>
          <w:tcPr>
            <w:tcW w:w="2693" w:type="dxa"/>
          </w:tcPr>
          <w:p w:rsidR="00AA28A0" w:rsidRPr="006C575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6C575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6C575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C5759" w:rsidRPr="006C5759" w:rsidTr="00894189">
        <w:trPr>
          <w:trHeight w:val="258"/>
        </w:trPr>
        <w:tc>
          <w:tcPr>
            <w:tcW w:w="2693" w:type="dxa"/>
          </w:tcPr>
          <w:p w:rsidR="00AA28A0" w:rsidRPr="006C575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6C5759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6C5759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15727" w:rsidRDefault="00615727" w:rsidP="0023181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15727" w:rsidRDefault="00615727" w:rsidP="0023181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15727">
        <w:rPr>
          <w:rFonts w:ascii="Times New Roman" w:hAnsi="Times New Roman"/>
          <w:bCs/>
          <w:sz w:val="24"/>
          <w:szCs w:val="24"/>
        </w:rPr>
        <w:t xml:space="preserve">В связи с невозможностью своевременного предоставления некоторыми членами Союза документов для плановых проверок по причине распространения новой коронавирусной инфекции во 2 квартале 2020 года, в соответствии с п. 2.7. Положения о контроле Союза утвердить перенос срока проведения плановых проверок членов Союза (согласно Приложению № 1 к </w:t>
      </w:r>
      <w:r>
        <w:rPr>
          <w:rFonts w:ascii="Times New Roman" w:hAnsi="Times New Roman"/>
          <w:bCs/>
          <w:sz w:val="24"/>
          <w:szCs w:val="24"/>
        </w:rPr>
        <w:t>данному Протоколу</w:t>
      </w:r>
      <w:r w:rsidRPr="00615727">
        <w:rPr>
          <w:rFonts w:ascii="Times New Roman" w:hAnsi="Times New Roman"/>
          <w:bCs/>
          <w:sz w:val="24"/>
          <w:szCs w:val="24"/>
        </w:rPr>
        <w:t>), утвержденных решением Совета Союза 28.12.2019 г. (протокол заседания Совета № 208), со 2 квартала 2020 года на 3 квартал 2020 года, а также внести изменения в план проведения плановых проверок членов Союза на 2020 год, утвержденный решением Совета Союза 28.12.2019 г. (протокол заседания Совета № 208).</w:t>
      </w:r>
    </w:p>
    <w:p w:rsidR="00583C3B" w:rsidRDefault="00583C3B" w:rsidP="0023181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31811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615727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727" w:rsidRPr="00615727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811" w:rsidRPr="0011662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C5759" w:rsidRPr="006C5759" w:rsidTr="002C0597">
        <w:tc>
          <w:tcPr>
            <w:tcW w:w="2693" w:type="dxa"/>
            <w:hideMark/>
          </w:tcPr>
          <w:p w:rsidR="00231811" w:rsidRPr="006C575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811" w:rsidRPr="006C575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31811" w:rsidRPr="006C5759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6C5759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6C575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6C5759" w:rsidRDefault="00231811" w:rsidP="006C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5759"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C5759" w:rsidRPr="006C5759" w:rsidTr="002C0597">
        <w:tc>
          <w:tcPr>
            <w:tcW w:w="2693" w:type="dxa"/>
          </w:tcPr>
          <w:p w:rsidR="00231811" w:rsidRPr="006C575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6C5759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6C575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C5759" w:rsidRPr="006C5759" w:rsidTr="002C0597">
        <w:trPr>
          <w:trHeight w:val="258"/>
        </w:trPr>
        <w:tc>
          <w:tcPr>
            <w:tcW w:w="2693" w:type="dxa"/>
          </w:tcPr>
          <w:p w:rsidR="00231811" w:rsidRPr="006C575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6C5759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6C5759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15727" w:rsidRPr="00615727" w:rsidRDefault="00615727" w:rsidP="000B602B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15727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615727" w:rsidRPr="00615727" w:rsidRDefault="00615727" w:rsidP="000B602B">
      <w:pPr>
        <w:pStyle w:val="a9"/>
        <w:numPr>
          <w:ilvl w:val="0"/>
          <w:numId w:val="42"/>
        </w:numPr>
        <w:spacing w:before="120" w:line="259" w:lineRule="auto"/>
        <w:ind w:left="714" w:hanging="357"/>
        <w:jc w:val="both"/>
        <w:rPr>
          <w:rFonts w:ascii="Times New Roman" w:hAnsi="Times New Roman"/>
          <w:bCs/>
        </w:rPr>
      </w:pPr>
      <w:r w:rsidRPr="00615727">
        <w:rPr>
          <w:rFonts w:ascii="Times New Roman" w:hAnsi="Times New Roman"/>
          <w:bCs/>
        </w:rPr>
        <w:t>Веретё</w:t>
      </w:r>
      <w:r>
        <w:rPr>
          <w:rFonts w:ascii="Times New Roman" w:hAnsi="Times New Roman"/>
          <w:bCs/>
        </w:rPr>
        <w:t>нкину Елену Александровну (рег.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№</w:t>
      </w:r>
      <w:r w:rsidRPr="00615727">
        <w:rPr>
          <w:rFonts w:ascii="Times New Roman" w:hAnsi="Times New Roman"/>
          <w:bCs/>
        </w:rPr>
        <w:t>120) на период 01.10.2019 г. по 31.03.2020 г.;</w:t>
      </w:r>
    </w:p>
    <w:p w:rsidR="00615727" w:rsidRPr="00615727" w:rsidRDefault="00615727" w:rsidP="000B602B">
      <w:pPr>
        <w:pStyle w:val="a9"/>
        <w:numPr>
          <w:ilvl w:val="0"/>
          <w:numId w:val="42"/>
        </w:numPr>
        <w:spacing w:before="120" w:line="259" w:lineRule="auto"/>
        <w:ind w:left="714" w:hanging="357"/>
        <w:jc w:val="both"/>
        <w:rPr>
          <w:rFonts w:ascii="Times New Roman" w:hAnsi="Times New Roman"/>
          <w:bCs/>
        </w:rPr>
      </w:pPr>
      <w:r w:rsidRPr="00615727">
        <w:rPr>
          <w:rFonts w:ascii="Times New Roman" w:hAnsi="Times New Roman"/>
          <w:bCs/>
        </w:rPr>
        <w:t xml:space="preserve">Заречнева </w:t>
      </w:r>
      <w:r>
        <w:rPr>
          <w:rFonts w:ascii="Times New Roman" w:hAnsi="Times New Roman"/>
          <w:bCs/>
        </w:rPr>
        <w:t>Александра Александровича (рег.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№</w:t>
      </w:r>
      <w:r w:rsidRPr="00615727">
        <w:rPr>
          <w:rFonts w:ascii="Times New Roman" w:hAnsi="Times New Roman"/>
          <w:bCs/>
        </w:rPr>
        <w:t>601) на период с 01.01.2020 г. по 30.06.2020 г.;</w:t>
      </w:r>
    </w:p>
    <w:p w:rsidR="00615727" w:rsidRPr="00615727" w:rsidRDefault="00615727" w:rsidP="000B602B">
      <w:pPr>
        <w:pStyle w:val="a9"/>
        <w:numPr>
          <w:ilvl w:val="0"/>
          <w:numId w:val="42"/>
        </w:numPr>
        <w:spacing w:before="120" w:line="259" w:lineRule="auto"/>
        <w:ind w:left="714" w:hanging="357"/>
        <w:jc w:val="both"/>
        <w:rPr>
          <w:rFonts w:ascii="Times New Roman" w:hAnsi="Times New Roman"/>
          <w:bCs/>
        </w:rPr>
      </w:pPr>
      <w:r w:rsidRPr="00615727">
        <w:rPr>
          <w:rFonts w:ascii="Times New Roman" w:hAnsi="Times New Roman"/>
          <w:bCs/>
        </w:rPr>
        <w:t>М</w:t>
      </w:r>
      <w:r>
        <w:rPr>
          <w:rFonts w:ascii="Times New Roman" w:hAnsi="Times New Roman"/>
          <w:bCs/>
        </w:rPr>
        <w:t>уравьеву Янину Васильевну (рег.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№</w:t>
      </w:r>
      <w:r w:rsidRPr="00615727">
        <w:rPr>
          <w:rFonts w:ascii="Times New Roman" w:hAnsi="Times New Roman"/>
          <w:bCs/>
        </w:rPr>
        <w:t>2) на период с 01.07.2019 г. по 31.03.2020 г.;</w:t>
      </w:r>
    </w:p>
    <w:p w:rsidR="00615727" w:rsidRPr="00615727" w:rsidRDefault="00615727" w:rsidP="000B602B">
      <w:pPr>
        <w:pStyle w:val="a9"/>
        <w:numPr>
          <w:ilvl w:val="0"/>
          <w:numId w:val="42"/>
        </w:numPr>
        <w:spacing w:before="120" w:line="259" w:lineRule="auto"/>
        <w:ind w:left="714" w:hanging="357"/>
        <w:jc w:val="both"/>
        <w:rPr>
          <w:rFonts w:ascii="Times New Roman" w:hAnsi="Times New Roman"/>
          <w:bCs/>
        </w:rPr>
      </w:pPr>
      <w:r w:rsidRPr="00615727">
        <w:rPr>
          <w:rFonts w:ascii="Times New Roman" w:hAnsi="Times New Roman"/>
          <w:bCs/>
        </w:rPr>
        <w:t>Седин</w:t>
      </w:r>
      <w:r>
        <w:rPr>
          <w:rFonts w:ascii="Times New Roman" w:hAnsi="Times New Roman"/>
          <w:bCs/>
        </w:rPr>
        <w:t>ину Светлану Георгиевну (рег.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№</w:t>
      </w:r>
      <w:r w:rsidRPr="00615727">
        <w:rPr>
          <w:rFonts w:ascii="Times New Roman" w:hAnsi="Times New Roman"/>
          <w:bCs/>
        </w:rPr>
        <w:t>645) на период 01.01.2020 г. по 30.06.2021 г.</w:t>
      </w:r>
    </w:p>
    <w:p w:rsidR="00E44069" w:rsidRPr="00615727" w:rsidRDefault="00E4406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5F3" w:rsidRDefault="000215F3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5727" w:rsidRPr="00615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FB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B54" w:rsidRDefault="00360B54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Pr="00EA16C1" w:rsidRDefault="00EA16C1" w:rsidP="00EA16C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softHyphen/>
      </w:r>
      <w:r>
        <w:rPr>
          <w:rFonts w:ascii="Times New Roman" w:eastAsia="Times New Roman" w:hAnsi="Times New Roman" w:cs="Times New Roman"/>
          <w:bCs/>
        </w:rPr>
        <w:softHyphen/>
      </w:r>
      <w:r>
        <w:rPr>
          <w:rFonts w:ascii="Times New Roman" w:eastAsia="Times New Roman" w:hAnsi="Times New Roman" w:cs="Times New Roman"/>
          <w:bCs/>
        </w:rPr>
        <w:tab/>
      </w:r>
      <w:r w:rsidRPr="00EA16C1">
        <w:rPr>
          <w:rFonts w:ascii="Times New Roman" w:eastAsia="Times New Roman" w:hAnsi="Times New Roman" w:cs="Times New Roman"/>
          <w:b/>
          <w:bCs/>
        </w:rPr>
        <w:t>Приложение №</w:t>
      </w:r>
      <w:r w:rsidR="000215F3" w:rsidRPr="00EA16C1">
        <w:rPr>
          <w:rFonts w:ascii="Times New Roman" w:eastAsia="Times New Roman" w:hAnsi="Times New Roman" w:cs="Times New Roman"/>
          <w:b/>
          <w:bCs/>
        </w:rPr>
        <w:t xml:space="preserve">1 </w:t>
      </w:r>
      <w:r w:rsidR="000215F3" w:rsidRPr="00EA16C1">
        <w:rPr>
          <w:rFonts w:ascii="Times New Roman" w:eastAsia="Times New Roman" w:hAnsi="Times New Roman" w:cs="Times New Roman"/>
          <w:bCs/>
        </w:rPr>
        <w:t xml:space="preserve">– </w:t>
      </w:r>
      <w:r w:rsidR="000B602B" w:rsidRPr="00EA16C1">
        <w:rPr>
          <w:rFonts w:ascii="Times New Roman" w:eastAsia="Times New Roman" w:hAnsi="Times New Roman" w:cs="Times New Roman"/>
          <w:bCs/>
        </w:rPr>
        <w:t xml:space="preserve">План переноса срока проведения плановых проверок членов Союза на </w:t>
      </w:r>
      <w:r w:rsidRPr="00EA16C1">
        <w:rPr>
          <w:rFonts w:ascii="Times New Roman" w:eastAsia="Times New Roman" w:hAnsi="Times New Roman" w:cs="Times New Roman"/>
          <w:bCs/>
        </w:rPr>
        <w:t>3</w:t>
      </w:r>
      <w:r>
        <w:rPr>
          <w:rFonts w:ascii="Times New Roman" w:eastAsia="Times New Roman" w:hAnsi="Times New Roman" w:cs="Times New Roman"/>
          <w:bCs/>
        </w:rPr>
        <w:t> </w:t>
      </w:r>
      <w:r w:rsidR="000B602B" w:rsidRPr="00EA16C1">
        <w:rPr>
          <w:rFonts w:ascii="Times New Roman" w:eastAsia="Times New Roman" w:hAnsi="Times New Roman" w:cs="Times New Roman"/>
          <w:bCs/>
        </w:rPr>
        <w:t>квартал 2020 года</w:t>
      </w:r>
      <w:r w:rsidR="000215F3" w:rsidRPr="00EA16C1">
        <w:rPr>
          <w:rFonts w:ascii="Times New Roman" w:eastAsia="Times New Roman" w:hAnsi="Times New Roman" w:cs="Times New Roman"/>
          <w:bCs/>
        </w:rPr>
        <w:t>.</w:t>
      </w: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15F3" w:rsidRPr="000215F3" w:rsidRDefault="000215F3" w:rsidP="000215F3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15F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 к протоколу заседания</w:t>
      </w:r>
    </w:p>
    <w:p w:rsidR="000215F3" w:rsidRPr="000215F3" w:rsidRDefault="000215F3" w:rsidP="000215F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15F3">
        <w:rPr>
          <w:rFonts w:ascii="Times New Roman" w:hAnsi="Times New Roman" w:cs="Times New Roman"/>
          <w:b/>
          <w:sz w:val="20"/>
          <w:szCs w:val="20"/>
        </w:rPr>
        <w:t xml:space="preserve">Совета СРО «СФСО» </w:t>
      </w:r>
      <w:r w:rsidR="006C575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615727" w:rsidRPr="00615727">
        <w:rPr>
          <w:rFonts w:ascii="Times New Roman" w:hAnsi="Times New Roman" w:cs="Times New Roman"/>
          <w:b/>
          <w:sz w:val="20"/>
          <w:szCs w:val="20"/>
        </w:rPr>
        <w:t>30</w:t>
      </w:r>
      <w:r w:rsidRPr="000215F3">
        <w:rPr>
          <w:rFonts w:ascii="Times New Roman" w:hAnsi="Times New Roman" w:cs="Times New Roman"/>
          <w:b/>
          <w:sz w:val="20"/>
          <w:szCs w:val="20"/>
        </w:rPr>
        <w:t xml:space="preserve"> июня 2020 г.</w:t>
      </w:r>
    </w:p>
    <w:p w:rsidR="000215F3" w:rsidRDefault="000215F3" w:rsidP="0002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215F3" w:rsidRDefault="000215F3" w:rsidP="00021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215F3" w:rsidRDefault="000B602B" w:rsidP="000B60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 </w:t>
      </w:r>
      <w:r w:rsidR="00615727" w:rsidRPr="00615727">
        <w:rPr>
          <w:rFonts w:ascii="Times New Roman" w:hAnsi="Times New Roman" w:cs="Times New Roman"/>
          <w:sz w:val="24"/>
          <w:szCs w:val="24"/>
        </w:rPr>
        <w:t>2.7. Положения о контроле Союза перенести срок проведения плановых проверок членов Союза, утвержденных реше</w:t>
      </w:r>
      <w:r>
        <w:rPr>
          <w:rFonts w:ascii="Times New Roman" w:hAnsi="Times New Roman" w:cs="Times New Roman"/>
          <w:sz w:val="24"/>
          <w:szCs w:val="24"/>
        </w:rPr>
        <w:t>нием Совета Союза 2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8.12.2019 </w:t>
      </w:r>
      <w:r w:rsidR="00615727" w:rsidRPr="00615727">
        <w:rPr>
          <w:rFonts w:ascii="Times New Roman" w:hAnsi="Times New Roman" w:cs="Times New Roman"/>
          <w:sz w:val="24"/>
          <w:szCs w:val="24"/>
        </w:rPr>
        <w:t>г. (протокол заседания Совета №208), со 2 квартала 2020 года на 3 квартал 2020 года, а также внести изменения в план проведения плановых проверок членов Союза на 2020 год, утвержденный решением Совета Союза 28.12.2019 г. (протокол заседания Совета №208):</w:t>
      </w:r>
    </w:p>
    <w:p w:rsidR="000B602B" w:rsidRDefault="000B602B" w:rsidP="00615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905"/>
        <w:gridCol w:w="1276"/>
        <w:gridCol w:w="1944"/>
      </w:tblGrid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0B602B" w:rsidRDefault="000B602B" w:rsidP="000B602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0B602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7DFE">
              <w:rPr>
                <w:rFonts w:ascii="Times New Roman" w:hAnsi="Times New Roman"/>
                <w:b/>
                <w:bCs/>
              </w:rPr>
              <w:t>ФИО оценщика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7DFE">
              <w:rPr>
                <w:rFonts w:ascii="Times New Roman" w:hAnsi="Times New Roman"/>
                <w:b/>
              </w:rPr>
              <w:t xml:space="preserve">Номер </w:t>
            </w:r>
            <w:r w:rsidR="000B602B">
              <w:rPr>
                <w:rFonts w:ascii="Times New Roman" w:hAnsi="Times New Roman"/>
                <w:b/>
              </w:rPr>
              <w:br/>
            </w:r>
            <w:r w:rsidRPr="00D77DFE">
              <w:rPr>
                <w:rFonts w:ascii="Times New Roman" w:hAnsi="Times New Roman"/>
                <w:b/>
              </w:rPr>
              <w:t>по реестру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7DFE">
              <w:rPr>
                <w:rFonts w:ascii="Times New Roman" w:hAnsi="Times New Roman"/>
                <w:b/>
                <w:color w:val="000000"/>
              </w:rPr>
              <w:t>Дата вступления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Локтева (</w:t>
            </w:r>
            <w:proofErr w:type="spellStart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Желнова</w:t>
            </w:r>
            <w:proofErr w:type="spellEnd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) Ирина Игоревна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30.03.2018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Судаков Сергей Ильич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579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Муравьева Янина Васильевна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07.10.2016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Филимонова Анастасия Александровна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07.10.2016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Полынская</w:t>
            </w:r>
            <w:proofErr w:type="spellEnd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Наталия Петровна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hAnsi="Times New Roman"/>
                <w:color w:val="000000"/>
                <w:highlight w:val="yellow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Черных Дмитрий Юрьевич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586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Орлова Наталья Владимировна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588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Сорокина Анна Николаевна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Прискачев</w:t>
            </w:r>
            <w:proofErr w:type="spellEnd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Кирилл Олегович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591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Михайлова Елена Борисовна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Глотко</w:t>
            </w:r>
            <w:proofErr w:type="spellEnd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(Казенных) Ольга Васильевна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599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09.06.2018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Хусамов</w:t>
            </w:r>
            <w:proofErr w:type="spellEnd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Рустам </w:t>
            </w:r>
            <w:proofErr w:type="spellStart"/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Рафикович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13.06.2018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Артемьев Борис Борисович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13.06.2018</w:t>
            </w:r>
          </w:p>
        </w:tc>
      </w:tr>
      <w:tr w:rsidR="00615727" w:rsidRPr="002C4462" w:rsidTr="000B602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615727" w:rsidRPr="00D77DFE" w:rsidRDefault="00615727" w:rsidP="000B602B">
            <w:pPr>
              <w:spacing w:before="120" w:after="12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Маркина Анна Николаевна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hAnsi="Times New Roman"/>
                <w:color w:val="000000"/>
              </w:rPr>
              <w:t>609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615727" w:rsidRPr="00D77DFE" w:rsidRDefault="00615727" w:rsidP="000B602B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D77DFE">
              <w:rPr>
                <w:rFonts w:ascii="Times New Roman" w:eastAsia="Times New Roman" w:hAnsi="Times New Roman"/>
                <w:color w:val="000000"/>
                <w:lang w:eastAsia="ru-RU"/>
              </w:rPr>
              <w:t>13.06.2018</w:t>
            </w:r>
          </w:p>
        </w:tc>
      </w:tr>
    </w:tbl>
    <w:p w:rsidR="00615727" w:rsidRPr="00615727" w:rsidRDefault="00615727" w:rsidP="0061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00AD" w:rsidRDefault="00EE00AD" w:rsidP="00EE00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EE00AD" w:rsidRDefault="00EE00AD" w:rsidP="00EE00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E00AD" w:rsidRDefault="00EE00AD" w:rsidP="00EE00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E00AD" w:rsidRDefault="00EE00AD" w:rsidP="00EE00A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EE00AD" w:rsidRDefault="00EE00AD" w:rsidP="000215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E00AD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7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5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2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38"/>
  </w:num>
  <w:num w:numId="4">
    <w:abstractNumId w:val="28"/>
  </w:num>
  <w:num w:numId="5">
    <w:abstractNumId w:val="15"/>
  </w:num>
  <w:num w:numId="6">
    <w:abstractNumId w:val="34"/>
  </w:num>
  <w:num w:numId="7">
    <w:abstractNumId w:val="7"/>
  </w:num>
  <w:num w:numId="8">
    <w:abstractNumId w:val="25"/>
  </w:num>
  <w:num w:numId="9">
    <w:abstractNumId w:val="20"/>
  </w:num>
  <w:num w:numId="10">
    <w:abstractNumId w:val="6"/>
  </w:num>
  <w:num w:numId="11">
    <w:abstractNumId w:val="30"/>
  </w:num>
  <w:num w:numId="12">
    <w:abstractNumId w:val="29"/>
  </w:num>
  <w:num w:numId="13">
    <w:abstractNumId w:val="0"/>
  </w:num>
  <w:num w:numId="14">
    <w:abstractNumId w:val="12"/>
  </w:num>
  <w:num w:numId="15">
    <w:abstractNumId w:val="26"/>
  </w:num>
  <w:num w:numId="16">
    <w:abstractNumId w:val="42"/>
  </w:num>
  <w:num w:numId="17">
    <w:abstractNumId w:val="31"/>
  </w:num>
  <w:num w:numId="18">
    <w:abstractNumId w:val="33"/>
  </w:num>
  <w:num w:numId="19">
    <w:abstractNumId w:val="35"/>
  </w:num>
  <w:num w:numId="20">
    <w:abstractNumId w:val="27"/>
  </w:num>
  <w:num w:numId="21">
    <w:abstractNumId w:val="19"/>
  </w:num>
  <w:num w:numId="22">
    <w:abstractNumId w:val="32"/>
  </w:num>
  <w:num w:numId="23">
    <w:abstractNumId w:val="36"/>
  </w:num>
  <w:num w:numId="24">
    <w:abstractNumId w:val="24"/>
  </w:num>
  <w:num w:numId="25">
    <w:abstractNumId w:val="39"/>
  </w:num>
  <w:num w:numId="26">
    <w:abstractNumId w:val="8"/>
  </w:num>
  <w:num w:numId="27">
    <w:abstractNumId w:val="5"/>
  </w:num>
  <w:num w:numId="28">
    <w:abstractNumId w:val="10"/>
  </w:num>
  <w:num w:numId="29">
    <w:abstractNumId w:val="11"/>
  </w:num>
  <w:num w:numId="30">
    <w:abstractNumId w:val="4"/>
  </w:num>
  <w:num w:numId="31">
    <w:abstractNumId w:val="3"/>
  </w:num>
  <w:num w:numId="32">
    <w:abstractNumId w:val="18"/>
  </w:num>
  <w:num w:numId="33">
    <w:abstractNumId w:val="16"/>
  </w:num>
  <w:num w:numId="34">
    <w:abstractNumId w:val="40"/>
  </w:num>
  <w:num w:numId="35">
    <w:abstractNumId w:val="23"/>
  </w:num>
  <w:num w:numId="36">
    <w:abstractNumId w:val="9"/>
  </w:num>
  <w:num w:numId="37">
    <w:abstractNumId w:val="22"/>
  </w:num>
  <w:num w:numId="38">
    <w:abstractNumId w:val="2"/>
  </w:num>
  <w:num w:numId="39">
    <w:abstractNumId w:val="37"/>
  </w:num>
  <w:num w:numId="40">
    <w:abstractNumId w:val="1"/>
  </w:num>
  <w:num w:numId="41">
    <w:abstractNumId w:val="14"/>
  </w:num>
  <w:num w:numId="42">
    <w:abstractNumId w:val="13"/>
  </w:num>
  <w:num w:numId="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29D3"/>
    <w:rsid w:val="001D4B33"/>
    <w:rsid w:val="001E6801"/>
    <w:rsid w:val="00201236"/>
    <w:rsid w:val="0020404F"/>
    <w:rsid w:val="002060EA"/>
    <w:rsid w:val="00212D75"/>
    <w:rsid w:val="00215E53"/>
    <w:rsid w:val="00231811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BB04-559B-4B94-AFD8-30912A88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7</cp:revision>
  <cp:lastPrinted>2020-06-17T05:37:00Z</cp:lastPrinted>
  <dcterms:created xsi:type="dcterms:W3CDTF">2020-06-30T09:29:00Z</dcterms:created>
  <dcterms:modified xsi:type="dcterms:W3CDTF">2020-06-30T13:21:00Z</dcterms:modified>
</cp:coreProperties>
</file>