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FFE" w:rsidRDefault="00E9702A">
      <w:pPr>
        <w:spacing w:line="264" w:lineRule="auto"/>
        <w:jc w:val="center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>Национальное объединение саморегулируемых организаций оценщиков «Союз СОО»</w:t>
      </w:r>
    </w:p>
    <w:p w:rsidR="00425FFE" w:rsidRDefault="00425FFE">
      <w:pPr>
        <w:spacing w:line="264" w:lineRule="auto"/>
        <w:jc w:val="center"/>
        <w:rPr>
          <w:b/>
          <w:sz w:val="28"/>
          <w:szCs w:val="28"/>
          <w:highlight w:val="white"/>
        </w:rPr>
      </w:pPr>
    </w:p>
    <w:p w:rsidR="00425FFE" w:rsidRDefault="00425FFE">
      <w:pPr>
        <w:jc w:val="right"/>
        <w:rPr>
          <w:b/>
          <w:color w:val="FF0000"/>
          <w:sz w:val="32"/>
          <w:szCs w:val="32"/>
          <w:highlight w:val="white"/>
        </w:rPr>
      </w:pPr>
    </w:p>
    <w:p w:rsidR="00425FFE" w:rsidRDefault="00425FFE">
      <w:pPr>
        <w:jc w:val="right"/>
        <w:rPr>
          <w:b/>
          <w:sz w:val="28"/>
          <w:szCs w:val="28"/>
          <w:highlight w:val="white"/>
        </w:rPr>
      </w:pPr>
    </w:p>
    <w:p w:rsidR="00425FFE" w:rsidRDefault="00425FFE">
      <w:pPr>
        <w:jc w:val="right"/>
        <w:rPr>
          <w:b/>
          <w:sz w:val="28"/>
          <w:szCs w:val="28"/>
          <w:highlight w:val="white"/>
        </w:rPr>
      </w:pPr>
    </w:p>
    <w:p w:rsidR="00E23556" w:rsidRPr="00E23556" w:rsidRDefault="00E23556" w:rsidP="00E23556">
      <w:pPr>
        <w:jc w:val="right"/>
        <w:rPr>
          <w:b/>
          <w:sz w:val="28"/>
          <w:szCs w:val="28"/>
          <w:highlight w:val="white"/>
        </w:rPr>
      </w:pPr>
      <w:r w:rsidRPr="00E23556">
        <w:rPr>
          <w:b/>
          <w:sz w:val="28"/>
          <w:szCs w:val="28"/>
          <w:highlight w:val="white"/>
        </w:rPr>
        <w:t xml:space="preserve">Принято решение о вынесении </w:t>
      </w:r>
    </w:p>
    <w:p w:rsidR="00E23556" w:rsidRPr="00E23556" w:rsidRDefault="00E23556" w:rsidP="00E23556">
      <w:pPr>
        <w:jc w:val="right"/>
        <w:rPr>
          <w:b/>
          <w:sz w:val="28"/>
          <w:szCs w:val="28"/>
          <w:highlight w:val="white"/>
        </w:rPr>
      </w:pPr>
      <w:r w:rsidRPr="00E23556">
        <w:rPr>
          <w:b/>
          <w:sz w:val="28"/>
          <w:szCs w:val="28"/>
          <w:highlight w:val="white"/>
        </w:rPr>
        <w:t>на апробацию сроком на 3 мес.</w:t>
      </w:r>
    </w:p>
    <w:p w:rsidR="00E23556" w:rsidRPr="00E23556" w:rsidRDefault="00E23556" w:rsidP="00E23556">
      <w:pPr>
        <w:jc w:val="right"/>
        <w:rPr>
          <w:b/>
          <w:sz w:val="28"/>
          <w:szCs w:val="28"/>
          <w:highlight w:val="white"/>
        </w:rPr>
      </w:pPr>
      <w:r w:rsidRPr="00E23556">
        <w:rPr>
          <w:b/>
          <w:sz w:val="28"/>
          <w:szCs w:val="28"/>
          <w:highlight w:val="white"/>
        </w:rPr>
        <w:t>Совет Союза СОО</w:t>
      </w:r>
    </w:p>
    <w:p w:rsidR="00E23556" w:rsidRPr="00E23556" w:rsidRDefault="00E23556" w:rsidP="00E23556">
      <w:pPr>
        <w:jc w:val="right"/>
        <w:rPr>
          <w:b/>
          <w:sz w:val="28"/>
          <w:szCs w:val="28"/>
          <w:highlight w:val="white"/>
        </w:rPr>
      </w:pPr>
      <w:r w:rsidRPr="00E23556">
        <w:rPr>
          <w:b/>
          <w:sz w:val="28"/>
          <w:szCs w:val="28"/>
          <w:highlight w:val="white"/>
        </w:rPr>
        <w:t>13 мая 2020 г.</w:t>
      </w:r>
    </w:p>
    <w:p w:rsidR="00425FFE" w:rsidRDefault="00425FFE">
      <w:pPr>
        <w:jc w:val="right"/>
        <w:rPr>
          <w:b/>
          <w:sz w:val="28"/>
          <w:szCs w:val="28"/>
          <w:highlight w:val="white"/>
        </w:rPr>
      </w:pPr>
    </w:p>
    <w:p w:rsidR="00425FFE" w:rsidRDefault="00425FFE">
      <w:pPr>
        <w:jc w:val="right"/>
        <w:rPr>
          <w:b/>
          <w:i/>
          <w:color w:val="FF0000"/>
          <w:sz w:val="32"/>
          <w:szCs w:val="32"/>
        </w:rPr>
      </w:pPr>
    </w:p>
    <w:p w:rsidR="00425FFE" w:rsidRDefault="00425FFE">
      <w:pPr>
        <w:spacing w:line="276" w:lineRule="auto"/>
        <w:rPr>
          <w:sz w:val="40"/>
          <w:szCs w:val="40"/>
        </w:rPr>
      </w:pPr>
    </w:p>
    <w:p w:rsidR="00425FFE" w:rsidRDefault="00425FFE">
      <w:pPr>
        <w:spacing w:line="276" w:lineRule="auto"/>
        <w:rPr>
          <w:sz w:val="40"/>
          <w:szCs w:val="40"/>
        </w:rPr>
      </w:pPr>
    </w:p>
    <w:p w:rsidR="003175CB" w:rsidRPr="003175CB" w:rsidRDefault="00483AB4" w:rsidP="003175C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color w:val="000000"/>
          <w:sz w:val="40"/>
          <w:szCs w:val="40"/>
        </w:rPr>
      </w:pPr>
      <w:r w:rsidRPr="00483AB4">
        <w:rPr>
          <w:b/>
          <w:caps/>
          <w:color w:val="000000"/>
          <w:sz w:val="40"/>
          <w:szCs w:val="40"/>
        </w:rPr>
        <w:t>Методические</w:t>
      </w:r>
      <w:r w:rsidR="00E9702A" w:rsidRPr="00483AB4">
        <w:rPr>
          <w:b/>
          <w:caps/>
          <w:color w:val="000000"/>
          <w:sz w:val="40"/>
          <w:szCs w:val="40"/>
        </w:rPr>
        <w:t xml:space="preserve"> </w:t>
      </w:r>
      <w:r w:rsidRPr="00483AB4">
        <w:rPr>
          <w:b/>
          <w:caps/>
          <w:color w:val="000000"/>
          <w:sz w:val="40"/>
          <w:szCs w:val="40"/>
        </w:rPr>
        <w:t>разъяснения</w:t>
      </w:r>
      <w:r w:rsidR="00E9702A" w:rsidRPr="00483AB4">
        <w:rPr>
          <w:b/>
          <w:caps/>
          <w:color w:val="000000"/>
          <w:sz w:val="40"/>
          <w:szCs w:val="40"/>
        </w:rPr>
        <w:t xml:space="preserve"> </w:t>
      </w:r>
      <w:r w:rsidR="00E9702A">
        <w:rPr>
          <w:b/>
          <w:color w:val="000000"/>
          <w:sz w:val="40"/>
          <w:szCs w:val="40"/>
        </w:rPr>
        <w:br/>
      </w:r>
      <w:r w:rsidR="003175CB" w:rsidRPr="003175CB">
        <w:rPr>
          <w:b/>
          <w:color w:val="000000"/>
          <w:sz w:val="40"/>
          <w:szCs w:val="40"/>
        </w:rPr>
        <w:t>по вопросу учета НДС</w:t>
      </w:r>
      <w:r w:rsidR="003175CB">
        <w:rPr>
          <w:b/>
          <w:color w:val="000000"/>
          <w:sz w:val="40"/>
          <w:szCs w:val="40"/>
        </w:rPr>
        <w:br/>
      </w:r>
      <w:r w:rsidR="003175CB" w:rsidRPr="003175CB">
        <w:rPr>
          <w:b/>
          <w:color w:val="000000"/>
          <w:sz w:val="40"/>
          <w:szCs w:val="40"/>
        </w:rPr>
        <w:t>при</w:t>
      </w:r>
      <w:r w:rsidR="003175CB">
        <w:rPr>
          <w:b/>
          <w:color w:val="000000"/>
          <w:sz w:val="40"/>
          <w:szCs w:val="40"/>
        </w:rPr>
        <w:t xml:space="preserve"> определении рыночной стоимости</w:t>
      </w:r>
      <w:r w:rsidR="003175CB">
        <w:rPr>
          <w:b/>
          <w:color w:val="000000"/>
          <w:sz w:val="40"/>
          <w:szCs w:val="40"/>
        </w:rPr>
        <w:br/>
      </w:r>
      <w:r w:rsidR="003175CB" w:rsidRPr="003175CB">
        <w:rPr>
          <w:b/>
          <w:color w:val="000000"/>
          <w:sz w:val="40"/>
          <w:szCs w:val="40"/>
        </w:rPr>
        <w:t>объектов недвижимости</w:t>
      </w:r>
    </w:p>
    <w:p w:rsidR="00425FFE" w:rsidRDefault="003175CB" w:rsidP="003175C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color w:val="000000"/>
          <w:sz w:val="40"/>
          <w:szCs w:val="40"/>
        </w:rPr>
      </w:pPr>
      <w:r w:rsidRPr="003175CB">
        <w:rPr>
          <w:b/>
          <w:color w:val="000000"/>
          <w:sz w:val="40"/>
          <w:szCs w:val="40"/>
        </w:rPr>
        <w:t>в рамках установления их кадастровой стоимости</w:t>
      </w:r>
    </w:p>
    <w:p w:rsidR="00425FFE" w:rsidRDefault="00425F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color w:val="000000"/>
          <w:sz w:val="40"/>
          <w:szCs w:val="40"/>
        </w:rPr>
      </w:pPr>
    </w:p>
    <w:p w:rsidR="00425FFE" w:rsidRDefault="00425F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color w:val="000000"/>
          <w:sz w:val="40"/>
          <w:szCs w:val="40"/>
        </w:rPr>
      </w:pPr>
    </w:p>
    <w:p w:rsidR="00425FFE" w:rsidRDefault="00425F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sz w:val="40"/>
          <w:szCs w:val="40"/>
        </w:rPr>
      </w:pPr>
    </w:p>
    <w:p w:rsidR="00425FFE" w:rsidRDefault="00425F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sz w:val="40"/>
          <w:szCs w:val="40"/>
        </w:rPr>
      </w:pPr>
    </w:p>
    <w:p w:rsidR="00425FFE" w:rsidRDefault="00425F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sz w:val="40"/>
          <w:szCs w:val="40"/>
        </w:rPr>
      </w:pPr>
    </w:p>
    <w:p w:rsidR="00425FFE" w:rsidRDefault="00425F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sz w:val="40"/>
          <w:szCs w:val="40"/>
        </w:rPr>
      </w:pPr>
    </w:p>
    <w:p w:rsidR="003175CB" w:rsidRDefault="003175C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sz w:val="40"/>
          <w:szCs w:val="40"/>
        </w:rPr>
      </w:pPr>
    </w:p>
    <w:p w:rsidR="003175CB" w:rsidRDefault="003175C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sz w:val="40"/>
          <w:szCs w:val="40"/>
        </w:rPr>
      </w:pPr>
    </w:p>
    <w:p w:rsidR="003175CB" w:rsidRDefault="003175C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sz w:val="40"/>
          <w:szCs w:val="40"/>
        </w:rPr>
      </w:pPr>
    </w:p>
    <w:p w:rsidR="00425FFE" w:rsidRDefault="00425F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color w:val="000000"/>
          <w:sz w:val="40"/>
          <w:szCs w:val="40"/>
        </w:rPr>
      </w:pPr>
    </w:p>
    <w:p w:rsidR="00425FFE" w:rsidRDefault="00E9702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>МОСКВА</w:t>
      </w:r>
    </w:p>
    <w:p w:rsidR="00425FFE" w:rsidRDefault="00E9702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>2020 г.</w:t>
      </w:r>
    </w:p>
    <w:p w:rsidR="00483AB4" w:rsidRDefault="00483AB4" w:rsidP="00483AB4">
      <w:pPr>
        <w:pStyle w:val="2"/>
        <w:keepNext w:val="0"/>
        <w:numPr>
          <w:ilvl w:val="0"/>
          <w:numId w:val="8"/>
        </w:numPr>
        <w:spacing w:before="120"/>
        <w:jc w:val="both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lastRenderedPageBreak/>
        <w:t>Вводные положения</w:t>
      </w:r>
    </w:p>
    <w:p w:rsidR="003175CB" w:rsidRDefault="003175CB" w:rsidP="00483AB4">
      <w:pPr>
        <w:pStyle w:val="2"/>
        <w:keepNext w:val="0"/>
        <w:numPr>
          <w:ilvl w:val="1"/>
          <w:numId w:val="8"/>
        </w:numPr>
        <w:spacing w:before="120"/>
        <w:ind w:left="567" w:hanging="567"/>
        <w:jc w:val="both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 xml:space="preserve">В настоящее время вопрос </w:t>
      </w:r>
      <w:r w:rsidR="00483AB4">
        <w:rPr>
          <w:rFonts w:ascii="Times New Roman" w:hAnsi="Times New Roman"/>
          <w:b w:val="0"/>
          <w:i w:val="0"/>
          <w:sz w:val="24"/>
          <w:szCs w:val="24"/>
        </w:rPr>
        <w:t xml:space="preserve">учета налога на добавленную стоимость (НДС) 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является одним из наиболее проблемных при определении рыночной стоимости в рамках рассмотрения споров о результатах определения кадастровой стоимости. Для устранения противоречий по данному вопросу </w:t>
      </w:r>
      <w:r w:rsidRPr="003175CB">
        <w:rPr>
          <w:rFonts w:ascii="Times New Roman" w:hAnsi="Times New Roman"/>
          <w:b w:val="0"/>
          <w:i w:val="0"/>
          <w:sz w:val="24"/>
          <w:szCs w:val="24"/>
        </w:rPr>
        <w:t>Национальное объединение саморегулируемых организаций оценщиков «Союз СОО»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 подготовило </w:t>
      </w:r>
      <w:r w:rsidR="00483AB4">
        <w:rPr>
          <w:rFonts w:ascii="Times New Roman" w:hAnsi="Times New Roman"/>
          <w:b w:val="0"/>
          <w:i w:val="0"/>
          <w:sz w:val="24"/>
          <w:szCs w:val="24"/>
        </w:rPr>
        <w:t>настоящие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 Методические разъяснения.</w:t>
      </w:r>
    </w:p>
    <w:p w:rsidR="003175CB" w:rsidRDefault="00483AB4" w:rsidP="003175CB">
      <w:pPr>
        <w:pStyle w:val="2"/>
        <w:keepNext w:val="0"/>
        <w:spacing w:before="120"/>
        <w:ind w:left="567" w:hanging="567"/>
        <w:jc w:val="both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 xml:space="preserve">Методические разъяснения направлены на конкретизацию требований и процедур при определении рыночной стоимости объектов недвижимости при установлении в ее размере кадастровой стоимости данных объектов недвижимости </w:t>
      </w:r>
      <w:r w:rsidR="006A159E">
        <w:rPr>
          <w:rFonts w:ascii="Times New Roman" w:hAnsi="Times New Roman"/>
          <w:b w:val="0"/>
          <w:i w:val="0"/>
          <w:sz w:val="24"/>
          <w:szCs w:val="24"/>
        </w:rPr>
        <w:t xml:space="preserve">и рекомендуются для применения </w:t>
      </w:r>
      <w:r>
        <w:rPr>
          <w:rFonts w:ascii="Times New Roman" w:hAnsi="Times New Roman"/>
          <w:b w:val="0"/>
          <w:i w:val="0"/>
          <w:sz w:val="24"/>
          <w:szCs w:val="24"/>
        </w:rPr>
        <w:t>при составлении как отчетов об оценке, так и заключений экспертов в рамках судебных экспертиз</w:t>
      </w:r>
      <w:r w:rsidRPr="00D249DA">
        <w:rPr>
          <w:rFonts w:ascii="Times New Roman" w:hAnsi="Times New Roman"/>
          <w:b w:val="0"/>
          <w:i w:val="0"/>
          <w:sz w:val="24"/>
          <w:szCs w:val="24"/>
        </w:rPr>
        <w:t>.</w:t>
      </w:r>
    </w:p>
    <w:p w:rsidR="006A159E" w:rsidRPr="006A159E" w:rsidRDefault="006A159E" w:rsidP="006A159E"/>
    <w:p w:rsidR="003175CB" w:rsidRDefault="003175CB" w:rsidP="003175CB">
      <w:pPr>
        <w:pStyle w:val="2"/>
        <w:keepNext w:val="0"/>
        <w:numPr>
          <w:ilvl w:val="0"/>
          <w:numId w:val="8"/>
        </w:numPr>
        <w:spacing w:before="120"/>
        <w:jc w:val="both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Понятие рыночной стоимости</w:t>
      </w:r>
    </w:p>
    <w:p w:rsidR="003175CB" w:rsidRDefault="003175CB" w:rsidP="003175CB">
      <w:pPr>
        <w:pStyle w:val="2"/>
        <w:keepNext w:val="0"/>
        <w:numPr>
          <w:ilvl w:val="1"/>
          <w:numId w:val="8"/>
        </w:numPr>
        <w:spacing w:before="120"/>
        <w:ind w:left="567" w:hanging="567"/>
        <w:jc w:val="both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 xml:space="preserve">Под рыночной стоимостью понимается наиболее вероятная </w:t>
      </w:r>
      <w:r>
        <w:rPr>
          <w:rFonts w:ascii="Times New Roman" w:hAnsi="Times New Roman"/>
          <w:i w:val="0"/>
          <w:sz w:val="24"/>
          <w:szCs w:val="24"/>
        </w:rPr>
        <w:t xml:space="preserve">цена, по которой </w:t>
      </w:r>
      <w:r>
        <w:rPr>
          <w:rFonts w:ascii="Times New Roman" w:hAnsi="Times New Roman"/>
          <w:i w:val="0"/>
          <w:sz w:val="24"/>
          <w:szCs w:val="24"/>
          <w:u w:val="single"/>
        </w:rPr>
        <w:t>объект</w:t>
      </w:r>
      <w:r>
        <w:rPr>
          <w:rFonts w:ascii="Times New Roman" w:hAnsi="Times New Roman"/>
          <w:i w:val="0"/>
          <w:sz w:val="24"/>
          <w:szCs w:val="24"/>
        </w:rPr>
        <w:t xml:space="preserve"> оценки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 может быть отчужден на открытом рынке в условиях конкуренции, когда стороны сделки действуют разумно, располагая всей необходимой информацией, а на величине цены сделки не отражаются какие-либо чрезвычайные обстоятельства.</w:t>
      </w:r>
      <w:r>
        <w:rPr>
          <w:rFonts w:ascii="Times New Roman" w:hAnsi="Times New Roman"/>
          <w:b w:val="0"/>
          <w:i w:val="0"/>
          <w:sz w:val="24"/>
          <w:szCs w:val="24"/>
          <w:vertAlign w:val="superscript"/>
        </w:rPr>
        <w:footnoteReference w:id="1"/>
      </w:r>
    </w:p>
    <w:p w:rsidR="003175CB" w:rsidRDefault="003175CB" w:rsidP="003175CB">
      <w:pPr>
        <w:pStyle w:val="2"/>
        <w:keepNext w:val="0"/>
        <w:numPr>
          <w:ilvl w:val="1"/>
          <w:numId w:val="8"/>
        </w:numPr>
        <w:spacing w:before="120"/>
        <w:ind w:left="567" w:hanging="567"/>
        <w:jc w:val="both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 xml:space="preserve">Гражданское законодательство РФ разделяет понятия </w:t>
      </w:r>
      <w:r>
        <w:rPr>
          <w:rFonts w:ascii="Times New Roman" w:hAnsi="Times New Roman"/>
          <w:i w:val="0"/>
          <w:sz w:val="24"/>
          <w:szCs w:val="24"/>
        </w:rPr>
        <w:t>цены сделки (цены договора)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 (ст. 424 ГК РФ), </w:t>
      </w:r>
      <w:r>
        <w:rPr>
          <w:rFonts w:ascii="Times New Roman" w:hAnsi="Times New Roman"/>
          <w:i w:val="0"/>
          <w:sz w:val="24"/>
          <w:szCs w:val="24"/>
        </w:rPr>
        <w:t>цены товара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 (ст. 485 ГК РФ). Цена договора (если не указано иное) определяет сумму обязательств, общую сумму денежных средств, подлежащих уплате покупателем продавцу по сделке. Цена товара – это согласованная сторонами сделки ценность товара, учитываемая ими для определения условий договоров купли-продажи. </w:t>
      </w:r>
      <w:r>
        <w:rPr>
          <w:rFonts w:ascii="Times New Roman" w:hAnsi="Times New Roman"/>
          <w:i w:val="0"/>
          <w:sz w:val="24"/>
          <w:szCs w:val="24"/>
        </w:rPr>
        <w:t>Определение рыночной стоимости в законодательстве о оценочной деятельности оперирует ценой объекта оценки, т.е. ценой товара</w:t>
      </w:r>
      <w:r>
        <w:rPr>
          <w:rFonts w:ascii="Times New Roman" w:hAnsi="Times New Roman"/>
          <w:b w:val="0"/>
          <w:i w:val="0"/>
          <w:sz w:val="24"/>
          <w:szCs w:val="24"/>
        </w:rPr>
        <w:t>, а не сделки.</w:t>
      </w:r>
    </w:p>
    <w:p w:rsidR="003175CB" w:rsidRDefault="003175CB" w:rsidP="003175CB">
      <w:pPr>
        <w:pStyle w:val="2"/>
        <w:keepNext w:val="0"/>
        <w:numPr>
          <w:ilvl w:val="1"/>
          <w:numId w:val="8"/>
        </w:numPr>
        <w:spacing w:before="120"/>
        <w:ind w:left="567" w:hanging="567"/>
        <w:jc w:val="both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 xml:space="preserve">Гражданское законодательство РФ выделяет </w:t>
      </w:r>
      <w:r>
        <w:rPr>
          <w:rFonts w:ascii="Times New Roman" w:hAnsi="Times New Roman"/>
          <w:i w:val="0"/>
          <w:sz w:val="24"/>
          <w:szCs w:val="24"/>
        </w:rPr>
        <w:t>цены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 (в общем виде) и </w:t>
      </w:r>
      <w:r>
        <w:rPr>
          <w:rFonts w:ascii="Times New Roman" w:hAnsi="Times New Roman"/>
          <w:i w:val="0"/>
          <w:sz w:val="24"/>
          <w:szCs w:val="24"/>
        </w:rPr>
        <w:t>розничные цены</w:t>
      </w:r>
      <w:r>
        <w:rPr>
          <w:rFonts w:ascii="Times New Roman" w:hAnsi="Times New Roman"/>
          <w:b w:val="0"/>
          <w:i w:val="0"/>
          <w:sz w:val="24"/>
          <w:szCs w:val="24"/>
        </w:rPr>
        <w:t>, так же как реализацию товаров по договорам розничной купли-продажи (ст. 492-505 ГК РФ) и договорам поставки (ст.506-524 ГК РФ). Розничная цена – цена товара, реализуемого непосредственно населению для личного, семейного, домашнего использования по договору розничной купли-продажи. Розничные цены включают издержки производства и обращения, прибыль предприятий, налоги и складываются с учётом ситуации на рынке.</w:t>
      </w:r>
      <w:r>
        <w:rPr>
          <w:rFonts w:ascii="Times New Roman" w:hAnsi="Times New Roman"/>
          <w:b w:val="0"/>
          <w:i w:val="0"/>
          <w:sz w:val="24"/>
          <w:szCs w:val="24"/>
          <w:vertAlign w:val="superscript"/>
        </w:rPr>
        <w:footnoteReference w:id="2"/>
      </w:r>
    </w:p>
    <w:p w:rsidR="003175CB" w:rsidRDefault="003175CB" w:rsidP="003175CB">
      <w:pPr>
        <w:pStyle w:val="2"/>
        <w:keepNext w:val="0"/>
        <w:numPr>
          <w:ilvl w:val="1"/>
          <w:numId w:val="8"/>
        </w:numPr>
        <w:spacing w:before="120"/>
        <w:ind w:left="567" w:hanging="567"/>
        <w:jc w:val="both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 xml:space="preserve">Продажа товаров во всех иных случаях не является розничной куплей-продажей, и </w:t>
      </w:r>
      <w:r>
        <w:rPr>
          <w:rFonts w:ascii="Times New Roman" w:hAnsi="Times New Roman"/>
          <w:i w:val="0"/>
          <w:sz w:val="24"/>
          <w:szCs w:val="24"/>
        </w:rPr>
        <w:t>к ценам товаров, реализуемых вне розничной купли-продажи, не применимо понятие розничной цены</w:t>
      </w:r>
      <w:r>
        <w:rPr>
          <w:rFonts w:ascii="Times New Roman" w:hAnsi="Times New Roman"/>
          <w:b w:val="0"/>
          <w:i w:val="0"/>
          <w:sz w:val="24"/>
          <w:szCs w:val="24"/>
        </w:rPr>
        <w:t>. Данные цены именуются оптовой ценой (или просто «цена»), под которой понимается цена товара, реализуемого продавцом или поставщиком покупателю с целью его последующей перепродажи или профессионального использования.</w:t>
      </w:r>
    </w:p>
    <w:p w:rsidR="003175CB" w:rsidRDefault="003175CB" w:rsidP="003175CB">
      <w:pPr>
        <w:pStyle w:val="2"/>
        <w:keepNext w:val="0"/>
        <w:numPr>
          <w:ilvl w:val="1"/>
          <w:numId w:val="8"/>
        </w:numPr>
        <w:spacing w:before="120"/>
        <w:ind w:left="567" w:hanging="567"/>
        <w:jc w:val="both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Недвижимое имущество не является объектом, предназначенным для личного потребления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, за исключение жилья. Нежилые объекты недвижимого имущества приобретаются либо для профессионального использования (сдачи в аренду, использования для размещения собственного бизнеса), либо для последующей </w:t>
      </w:r>
      <w:r>
        <w:rPr>
          <w:rFonts w:ascii="Times New Roman" w:hAnsi="Times New Roman"/>
          <w:b w:val="0"/>
          <w:i w:val="0"/>
          <w:sz w:val="24"/>
          <w:szCs w:val="24"/>
        </w:rPr>
        <w:lastRenderedPageBreak/>
        <w:t xml:space="preserve">перепродажи. </w:t>
      </w:r>
      <w:r>
        <w:rPr>
          <w:rFonts w:ascii="Times New Roman" w:hAnsi="Times New Roman"/>
          <w:i w:val="0"/>
          <w:sz w:val="24"/>
          <w:szCs w:val="24"/>
        </w:rPr>
        <w:t>Реализация объектов недвижимого имущества, за исключением жилья (квартир), является объектом обложения НДС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. </w:t>
      </w:r>
    </w:p>
    <w:p w:rsidR="003175CB" w:rsidRDefault="003175CB" w:rsidP="003175CB"/>
    <w:p w:rsidR="003175CB" w:rsidRDefault="003175CB" w:rsidP="003175CB">
      <w:pPr>
        <w:pStyle w:val="2"/>
        <w:keepNext w:val="0"/>
        <w:numPr>
          <w:ilvl w:val="1"/>
          <w:numId w:val="8"/>
        </w:numPr>
        <w:spacing w:before="120"/>
        <w:ind w:left="567" w:hanging="567"/>
        <w:jc w:val="both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Международные стандарты оценки, на которые ориентировано российское законодательство в области оценочной деятельности, дают следующее определение рыночной стоимости. Рыночная стоимость (</w:t>
      </w:r>
      <w:proofErr w:type="spellStart"/>
      <w:r>
        <w:rPr>
          <w:rFonts w:ascii="Times New Roman" w:hAnsi="Times New Roman"/>
          <w:b w:val="0"/>
          <w:i w:val="0"/>
          <w:sz w:val="24"/>
          <w:szCs w:val="24"/>
        </w:rPr>
        <w:t>Market</w:t>
      </w:r>
      <w:proofErr w:type="spellEnd"/>
      <w:r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i w:val="0"/>
          <w:sz w:val="24"/>
          <w:szCs w:val="24"/>
        </w:rPr>
        <w:t>Value</w:t>
      </w:r>
      <w:proofErr w:type="spellEnd"/>
      <w:r>
        <w:rPr>
          <w:rFonts w:ascii="Times New Roman" w:hAnsi="Times New Roman"/>
          <w:b w:val="0"/>
          <w:i w:val="0"/>
          <w:sz w:val="24"/>
          <w:szCs w:val="24"/>
        </w:rPr>
        <w:t xml:space="preserve">) — это расчетная денежная сумма, за которую состоялся бы обмен актива или обязательства на дату оценки между заинтересованным покупателем и заинтересованным продавцом в результате коммерческой сделки после проведения надлежащего маркетинга в обычной сделке, после надлежащего маркетинга и в тех случаях, когда каждая из сторон действовала осознанно, разумно и без принуждения. При этом под «расчетной денежной суммой» понимается выраженная в деньгах цена, которая может быть уплачена за актив при коммерческой рыночной сделке. </w:t>
      </w:r>
      <w:r>
        <w:rPr>
          <w:rFonts w:ascii="Times New Roman" w:hAnsi="Times New Roman"/>
          <w:i w:val="0"/>
          <w:sz w:val="24"/>
          <w:szCs w:val="24"/>
        </w:rPr>
        <w:t>При определении этой цены не учитывается какой-либо элемент стоимости, доступный только для конкретно определенного собственника или покупателя</w:t>
      </w:r>
      <w:r>
        <w:rPr>
          <w:rFonts w:ascii="Times New Roman" w:hAnsi="Times New Roman"/>
          <w:b w:val="0"/>
          <w:i w:val="0"/>
          <w:sz w:val="24"/>
          <w:szCs w:val="24"/>
        </w:rPr>
        <w:t>.</w:t>
      </w:r>
      <w:r>
        <w:rPr>
          <w:rFonts w:ascii="Times New Roman" w:hAnsi="Times New Roman"/>
          <w:b w:val="0"/>
          <w:i w:val="0"/>
          <w:sz w:val="24"/>
          <w:szCs w:val="24"/>
          <w:vertAlign w:val="superscript"/>
        </w:rPr>
        <w:footnoteReference w:id="3"/>
      </w:r>
      <w:r>
        <w:rPr>
          <w:rFonts w:ascii="Times New Roman" w:hAnsi="Times New Roman"/>
          <w:b w:val="0"/>
          <w:i w:val="0"/>
          <w:sz w:val="24"/>
          <w:szCs w:val="24"/>
          <w:vertAlign w:val="superscript"/>
        </w:rPr>
        <w:t xml:space="preserve"> </w:t>
      </w:r>
    </w:p>
    <w:p w:rsidR="003175CB" w:rsidRDefault="003175CB" w:rsidP="003175CB">
      <w:pPr>
        <w:pStyle w:val="2"/>
        <w:keepNext w:val="0"/>
        <w:numPr>
          <w:ilvl w:val="1"/>
          <w:numId w:val="8"/>
        </w:numPr>
        <w:spacing w:before="120"/>
        <w:ind w:left="567" w:hanging="567"/>
        <w:jc w:val="both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Рыночная стоимость определяется без учета затрат продавца на продажу или затрат покупателя на приобретение и без корректировки на любые налоги, подлежащих уплате либо стороной как прямой результат сделки</w:t>
      </w:r>
      <w:r>
        <w:rPr>
          <w:rFonts w:ascii="Times New Roman" w:hAnsi="Times New Roman"/>
          <w:b w:val="0"/>
          <w:i w:val="0"/>
          <w:sz w:val="24"/>
          <w:szCs w:val="24"/>
          <w:vertAlign w:val="superscript"/>
        </w:rPr>
        <w:footnoteReference w:id="4"/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. Покупатель и продавец могут одновременно привлекать для совершения сделки агентов, юристов, оценочные организации, и нести связанные с этим расходы, которые могут быть как фиксированные, так и в процентах от суммы сделки. Предполагается, что данные расходы как продавца, так и покупателя, не должны влиять на величину стоимости объекта, ни увеличивать ее, ни уменьшать. </w:t>
      </w:r>
    </w:p>
    <w:p w:rsidR="003175CB" w:rsidRDefault="003175CB" w:rsidP="003175CB">
      <w:pPr>
        <w:pStyle w:val="2"/>
        <w:keepNext w:val="0"/>
        <w:numPr>
          <w:ilvl w:val="1"/>
          <w:numId w:val="8"/>
        </w:numPr>
        <w:spacing w:before="120"/>
        <w:ind w:left="567" w:hanging="567"/>
        <w:jc w:val="both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 xml:space="preserve">Точно так же, какая-либо из сторон может иметь обязанность уплатить определенные налоги вследствие совершенной сделки. Это может быть гербовый сбор, плата на регистрацию или пошлина в связи с вступлением в права собственности на объект. Данные расходы также не должны уменьшать или увеличивать стоимость актива. Такое же правило применяется и в отношении налога на добавленную стоимость (НДС). Обязанность по уплате НДС может лежать как на продавце, так и на покупателе (при приобретении приватизируемого государственного или муниципального имущества, при трансграничных операциях). </w:t>
      </w:r>
      <w:r>
        <w:rPr>
          <w:rFonts w:ascii="Times New Roman" w:hAnsi="Times New Roman"/>
          <w:i w:val="0"/>
          <w:sz w:val="24"/>
          <w:szCs w:val="24"/>
        </w:rPr>
        <w:t>Величина подлежащего уплате продавцом, или покупателем, НДС не должна отражаться в цене актива</w:t>
      </w:r>
      <w:r>
        <w:rPr>
          <w:rFonts w:ascii="Times New Roman" w:hAnsi="Times New Roman"/>
          <w:b w:val="0"/>
          <w:i w:val="0"/>
          <w:sz w:val="24"/>
          <w:szCs w:val="24"/>
        </w:rPr>
        <w:t>.</w:t>
      </w:r>
    </w:p>
    <w:p w:rsidR="003175CB" w:rsidRDefault="003175CB" w:rsidP="003175CB">
      <w:pPr>
        <w:pStyle w:val="2"/>
        <w:keepNext w:val="0"/>
        <w:numPr>
          <w:ilvl w:val="1"/>
          <w:numId w:val="8"/>
        </w:numPr>
        <w:spacing w:before="120"/>
        <w:ind w:left="567" w:hanging="567"/>
        <w:jc w:val="both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 xml:space="preserve">Между тем в ряде случаев заказчик оценки может попросить оценщика указать результаты оценки с учетом затрат на продажу или приобретение, в том числе с учетом НДС. В этом случае результат оценки может включать </w:t>
      </w:r>
      <w:r>
        <w:rPr>
          <w:rFonts w:ascii="Times New Roman" w:hAnsi="Times New Roman"/>
          <w:i w:val="0"/>
          <w:sz w:val="24"/>
          <w:szCs w:val="24"/>
        </w:rPr>
        <w:t>такие расходы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, однако они </w:t>
      </w:r>
      <w:r>
        <w:rPr>
          <w:rFonts w:ascii="Times New Roman" w:hAnsi="Times New Roman"/>
          <w:i w:val="0"/>
          <w:sz w:val="24"/>
          <w:szCs w:val="24"/>
        </w:rPr>
        <w:t xml:space="preserve">должны быть отражены отдельно </w:t>
      </w:r>
      <w:r>
        <w:rPr>
          <w:rFonts w:ascii="Times New Roman" w:hAnsi="Times New Roman"/>
          <w:i w:val="0"/>
          <w:sz w:val="24"/>
          <w:szCs w:val="24"/>
          <w:u w:val="single"/>
        </w:rPr>
        <w:t>в дополнение</w:t>
      </w:r>
      <w:r>
        <w:rPr>
          <w:rFonts w:ascii="Times New Roman" w:hAnsi="Times New Roman"/>
          <w:i w:val="0"/>
          <w:sz w:val="24"/>
          <w:szCs w:val="24"/>
        </w:rPr>
        <w:t xml:space="preserve"> к величине определенной рыночной стоимости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 объекта. При отражении результатов оценки с учетом НДС, который может возникнуть в результате сделки оценщик должен указать применяемую им ставку НДС на дату оценки и также сделать оговорку о том, что НДС должен учитываться в дополнение (сверх) величины рыночной стоимости. Подобная позиция конкретизирована в Европейских стандартах оценки</w:t>
      </w:r>
      <w:r>
        <w:rPr>
          <w:rFonts w:ascii="Times New Roman" w:hAnsi="Times New Roman"/>
          <w:b w:val="0"/>
          <w:i w:val="0"/>
          <w:sz w:val="24"/>
          <w:szCs w:val="24"/>
          <w:vertAlign w:val="superscript"/>
        </w:rPr>
        <w:footnoteReference w:id="5"/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, </w:t>
      </w:r>
      <w:r>
        <w:rPr>
          <w:rFonts w:ascii="Times New Roman" w:hAnsi="Times New Roman"/>
          <w:b w:val="0"/>
          <w:i w:val="0"/>
          <w:sz w:val="24"/>
          <w:szCs w:val="24"/>
        </w:rPr>
        <w:lastRenderedPageBreak/>
        <w:t>а также Стандартах оценки Королевского института сертифицированных сюрвейеров (RICS)</w:t>
      </w:r>
      <w:r>
        <w:rPr>
          <w:rFonts w:ascii="Times New Roman" w:hAnsi="Times New Roman"/>
          <w:b w:val="0"/>
          <w:i w:val="0"/>
          <w:sz w:val="24"/>
          <w:szCs w:val="24"/>
          <w:vertAlign w:val="superscript"/>
        </w:rPr>
        <w:footnoteReference w:id="6"/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. </w:t>
      </w:r>
    </w:p>
    <w:p w:rsidR="003175CB" w:rsidRDefault="003175CB" w:rsidP="003175CB">
      <w:pPr>
        <w:pStyle w:val="2"/>
        <w:numPr>
          <w:ilvl w:val="0"/>
          <w:numId w:val="8"/>
        </w:numPr>
        <w:spacing w:before="120"/>
        <w:ind w:left="391" w:hanging="391"/>
        <w:jc w:val="both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Рыночная стоимость и НДС для целей налогообложения</w:t>
      </w:r>
    </w:p>
    <w:p w:rsidR="003175CB" w:rsidRDefault="003175CB" w:rsidP="003175CB">
      <w:pPr>
        <w:pStyle w:val="2"/>
        <w:keepNext w:val="0"/>
        <w:numPr>
          <w:ilvl w:val="1"/>
          <w:numId w:val="8"/>
        </w:numPr>
        <w:spacing w:before="120"/>
        <w:ind w:left="567" w:hanging="567"/>
        <w:jc w:val="both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 xml:space="preserve">Налог на добавленную стоимость разрабатывался как универсальный и эффективный </w:t>
      </w:r>
      <w:r>
        <w:rPr>
          <w:rFonts w:ascii="Times New Roman" w:hAnsi="Times New Roman"/>
          <w:i w:val="0"/>
          <w:sz w:val="24"/>
          <w:szCs w:val="24"/>
        </w:rPr>
        <w:t>транзакционный налог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>
        <w:rPr>
          <w:rFonts w:ascii="Times New Roman" w:hAnsi="Times New Roman"/>
          <w:i w:val="0"/>
          <w:sz w:val="24"/>
          <w:szCs w:val="24"/>
        </w:rPr>
        <w:t>на потребление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 итогового экономического продукта, который должен был быть соразмерен стоимости такого потребления. Вместе с тем в рассматриваемом контексте под потреблением понималось использование итогового экономического продукта </w:t>
      </w:r>
      <w:r>
        <w:rPr>
          <w:rFonts w:ascii="Times New Roman" w:hAnsi="Times New Roman"/>
          <w:i w:val="0"/>
          <w:sz w:val="24"/>
          <w:szCs w:val="24"/>
        </w:rPr>
        <w:t>исключительно конечным приобретателем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. </w:t>
      </w:r>
      <w:r>
        <w:rPr>
          <w:rFonts w:ascii="Times New Roman" w:hAnsi="Times New Roman"/>
          <w:i w:val="0"/>
          <w:sz w:val="24"/>
          <w:szCs w:val="24"/>
        </w:rPr>
        <w:t>Использование приобретаемых активов предпринимателями для целей предпринимательской деятельности исключалось из определения потребления</w:t>
      </w:r>
      <w:r>
        <w:rPr>
          <w:rFonts w:ascii="Times New Roman" w:hAnsi="Times New Roman"/>
          <w:b w:val="0"/>
          <w:i w:val="0"/>
          <w:sz w:val="24"/>
          <w:szCs w:val="24"/>
        </w:rPr>
        <w:t>. Такой подход к пониманию потребления для целей налога на добавленную стоимость остался актуален и по сей день.</w:t>
      </w:r>
      <w:r>
        <w:rPr>
          <w:rFonts w:ascii="Times New Roman" w:hAnsi="Times New Roman"/>
          <w:b w:val="0"/>
          <w:i w:val="0"/>
          <w:sz w:val="24"/>
          <w:szCs w:val="24"/>
          <w:vertAlign w:val="superscript"/>
        </w:rPr>
        <w:footnoteReference w:id="7"/>
      </w:r>
    </w:p>
    <w:p w:rsidR="003175CB" w:rsidRDefault="003175CB" w:rsidP="003175CB">
      <w:pPr>
        <w:pStyle w:val="2"/>
        <w:keepNext w:val="0"/>
        <w:numPr>
          <w:ilvl w:val="1"/>
          <w:numId w:val="8"/>
        </w:numPr>
        <w:spacing w:before="120"/>
        <w:ind w:left="567" w:hanging="567"/>
        <w:jc w:val="both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 xml:space="preserve">Согласно </w:t>
      </w:r>
      <w:hyperlink r:id="rId9">
        <w:r>
          <w:rPr>
            <w:rFonts w:ascii="Times New Roman" w:hAnsi="Times New Roman"/>
            <w:b w:val="0"/>
            <w:i w:val="0"/>
            <w:sz w:val="24"/>
            <w:szCs w:val="24"/>
          </w:rPr>
          <w:t>ст. 146</w:t>
        </w:r>
      </w:hyperlink>
      <w:r>
        <w:rPr>
          <w:rFonts w:ascii="Times New Roman" w:hAnsi="Times New Roman"/>
          <w:b w:val="0"/>
          <w:i w:val="0"/>
          <w:sz w:val="24"/>
          <w:szCs w:val="24"/>
        </w:rPr>
        <w:t xml:space="preserve"> Налогового кодекса РФ </w:t>
      </w:r>
      <w:r>
        <w:rPr>
          <w:rFonts w:ascii="Times New Roman" w:hAnsi="Times New Roman"/>
          <w:i w:val="0"/>
          <w:sz w:val="24"/>
          <w:szCs w:val="24"/>
        </w:rPr>
        <w:t>объектом обложения НДС является реализация товаров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 (работ, услуг) на территории РФ. Исходя из положений </w:t>
      </w:r>
      <w:hyperlink r:id="rId10">
        <w:r>
          <w:rPr>
            <w:rFonts w:ascii="Times New Roman" w:hAnsi="Times New Roman"/>
            <w:b w:val="0"/>
            <w:i w:val="0"/>
            <w:sz w:val="24"/>
            <w:szCs w:val="24"/>
          </w:rPr>
          <w:t xml:space="preserve">пункта 1 статьи 154 </w:t>
        </w:r>
      </w:hyperlink>
      <w:r>
        <w:rPr>
          <w:rFonts w:ascii="Times New Roman" w:hAnsi="Times New Roman"/>
          <w:b w:val="0"/>
          <w:i w:val="0"/>
          <w:sz w:val="24"/>
          <w:szCs w:val="24"/>
        </w:rPr>
        <w:t xml:space="preserve">НК РФ налоговая база при реализации налогоплательщиком товаров (работ, услуг) определяется как стоимость этих товаров (работ, услуг), исчисленная </w:t>
      </w:r>
      <w:r>
        <w:rPr>
          <w:rFonts w:ascii="Times New Roman" w:hAnsi="Times New Roman"/>
          <w:i w:val="0"/>
          <w:sz w:val="24"/>
          <w:szCs w:val="24"/>
        </w:rPr>
        <w:t>исходя из цен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, определяемых в соответствии со </w:t>
      </w:r>
      <w:hyperlink r:id="rId11">
        <w:r>
          <w:rPr>
            <w:rFonts w:ascii="Times New Roman" w:hAnsi="Times New Roman"/>
            <w:b w:val="0"/>
            <w:i w:val="0"/>
            <w:sz w:val="24"/>
            <w:szCs w:val="24"/>
          </w:rPr>
          <w:t>статьей 105.3</w:t>
        </w:r>
      </w:hyperlink>
      <w:r>
        <w:rPr>
          <w:rFonts w:ascii="Times New Roman" w:hAnsi="Times New Roman"/>
          <w:b w:val="0"/>
          <w:i w:val="0"/>
          <w:sz w:val="24"/>
          <w:szCs w:val="24"/>
        </w:rPr>
        <w:t xml:space="preserve"> этого Кодекса, с учетом акцизов (для подакцизных товаров) и </w:t>
      </w:r>
      <w:r>
        <w:rPr>
          <w:rFonts w:ascii="Times New Roman" w:hAnsi="Times New Roman"/>
          <w:i w:val="0"/>
          <w:sz w:val="24"/>
          <w:szCs w:val="24"/>
        </w:rPr>
        <w:t>без включения в них налога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. В соответствии с п. 1 ст. 168 НК РФ при реализации товаров (работ, услуг), при передаче имущественных прав налогоплательщик </w:t>
      </w:r>
      <w:r>
        <w:rPr>
          <w:rFonts w:ascii="Times New Roman" w:hAnsi="Times New Roman"/>
          <w:i w:val="0"/>
          <w:sz w:val="24"/>
          <w:szCs w:val="24"/>
        </w:rPr>
        <w:t>дополнительно к цене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 (тарифу) реализуемых товаров (работ, услуг), передаваемых имущественных прав обязан </w:t>
      </w:r>
      <w:r>
        <w:rPr>
          <w:rFonts w:ascii="Times New Roman" w:hAnsi="Times New Roman"/>
          <w:i w:val="0"/>
          <w:sz w:val="24"/>
          <w:szCs w:val="24"/>
        </w:rPr>
        <w:t>предъявить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 к оплате покупателю этих товаров (работ, услуг), имущественных прав соответствующую </w:t>
      </w:r>
      <w:r>
        <w:rPr>
          <w:rFonts w:ascii="Times New Roman" w:hAnsi="Times New Roman"/>
          <w:i w:val="0"/>
          <w:sz w:val="24"/>
          <w:szCs w:val="24"/>
        </w:rPr>
        <w:t>сумму налога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. </w:t>
      </w:r>
    </w:p>
    <w:p w:rsidR="003175CB" w:rsidRDefault="003175CB" w:rsidP="003175CB">
      <w:pPr>
        <w:pStyle w:val="2"/>
        <w:keepNext w:val="0"/>
        <w:numPr>
          <w:ilvl w:val="1"/>
          <w:numId w:val="8"/>
        </w:numPr>
        <w:spacing w:before="120"/>
        <w:ind w:left="567" w:hanging="567"/>
        <w:jc w:val="both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Налоговый кодекс РФ так же, как и гражданское законодательство разделяет розничные и иные цены, как в отношении положений о налоге на добавленную стоимость, так и в отношении иных налогов и сборов. Лишь при реализации товаров (работ, услуг) по договорам розничной купли-продажи согласно параграфу 3 п.1 ст. 168 НК РФ, а также п.6 ст.168 сумма налога включается в розничные цены (тарифы).</w:t>
      </w:r>
    </w:p>
    <w:p w:rsidR="003175CB" w:rsidRDefault="003175CB" w:rsidP="003175CB">
      <w:pPr>
        <w:pStyle w:val="2"/>
        <w:keepNext w:val="0"/>
        <w:numPr>
          <w:ilvl w:val="1"/>
          <w:numId w:val="8"/>
        </w:numPr>
        <w:spacing w:before="120"/>
        <w:ind w:left="567" w:hanging="567"/>
        <w:jc w:val="both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 xml:space="preserve">В соответствии с положениями ст. 40 Глава 21 НК РФ цена товаров (работ, услуг) может устанавливаться на основе информации о сделках, на основе регулируемых цен (тарифов) и на основании затрат на создание. При этом в соответствии с п.1 ст.170 Глава 21 НК РФ </w:t>
      </w:r>
      <w:r>
        <w:rPr>
          <w:rFonts w:ascii="Times New Roman" w:hAnsi="Times New Roman"/>
          <w:i w:val="0"/>
          <w:sz w:val="24"/>
          <w:szCs w:val="24"/>
        </w:rPr>
        <w:t>суммы налога, не включаются в расходы</w:t>
      </w:r>
      <w:r>
        <w:rPr>
          <w:rFonts w:ascii="Times New Roman" w:hAnsi="Times New Roman"/>
          <w:b w:val="0"/>
          <w:i w:val="0"/>
          <w:sz w:val="24"/>
          <w:szCs w:val="24"/>
        </w:rPr>
        <w:t>, за исключением лиц, не являющихся плательщиками налога или освобожденных от обязанностей по его исчислению и уплате. Аналогично п.2 ст. 254 Главы 25 НК РФ говорит о том, что стоимость запасов, включаемых в расходы, определяется исходя из цен без учета НДС, за рядом исключений.</w:t>
      </w:r>
    </w:p>
    <w:p w:rsidR="003175CB" w:rsidRDefault="003175CB" w:rsidP="003175CB">
      <w:pPr>
        <w:pStyle w:val="2"/>
        <w:keepNext w:val="0"/>
        <w:numPr>
          <w:ilvl w:val="1"/>
          <w:numId w:val="8"/>
        </w:numPr>
        <w:spacing w:before="120"/>
        <w:ind w:left="567" w:hanging="567"/>
        <w:jc w:val="both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Одним из оснований определения рыночных цен для целей налогообложения является определение рыночной стоимости оценщиком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 (п.10 ст. 105.3 НК РФ). </w:t>
      </w:r>
      <w:r>
        <w:rPr>
          <w:rFonts w:ascii="Times New Roman" w:hAnsi="Times New Roman"/>
          <w:i w:val="0"/>
          <w:sz w:val="24"/>
          <w:szCs w:val="24"/>
        </w:rPr>
        <w:t xml:space="preserve">Таким образом, </w:t>
      </w:r>
      <w:r>
        <w:rPr>
          <w:rFonts w:ascii="Times New Roman" w:hAnsi="Times New Roman"/>
          <w:i w:val="0"/>
          <w:sz w:val="24"/>
          <w:szCs w:val="24"/>
          <w:u w:val="single"/>
        </w:rPr>
        <w:t>все вышесказанное в полной мере применимо и к проведению оценки, и к ее результатам</w:t>
      </w:r>
      <w:r>
        <w:rPr>
          <w:rFonts w:ascii="Times New Roman" w:hAnsi="Times New Roman"/>
          <w:b w:val="0"/>
          <w:i w:val="0"/>
          <w:sz w:val="24"/>
          <w:szCs w:val="24"/>
        </w:rPr>
        <w:t>.</w:t>
      </w:r>
    </w:p>
    <w:p w:rsidR="003175CB" w:rsidRDefault="003175CB" w:rsidP="003175CB">
      <w:pPr>
        <w:pStyle w:val="2"/>
        <w:keepNext w:val="0"/>
        <w:numPr>
          <w:ilvl w:val="1"/>
          <w:numId w:val="8"/>
        </w:numPr>
        <w:spacing w:before="120"/>
        <w:ind w:left="567" w:hanging="567"/>
        <w:jc w:val="both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 xml:space="preserve">Следует отметить, что положения Налогового кодекса Российской Федерации в полной мере соответствуют принципам налогового законодательства и Европейских </w:t>
      </w:r>
      <w:r>
        <w:rPr>
          <w:rFonts w:ascii="Times New Roman" w:hAnsi="Times New Roman"/>
          <w:b w:val="0"/>
          <w:i w:val="0"/>
          <w:sz w:val="24"/>
          <w:szCs w:val="24"/>
        </w:rPr>
        <w:lastRenderedPageBreak/>
        <w:t>стран. В странах ЕС и Великобритании в налоговом законодательстве используется понятие «стоимости на открытом рынке» (</w:t>
      </w:r>
      <w:proofErr w:type="spellStart"/>
      <w:r>
        <w:rPr>
          <w:rFonts w:ascii="Times New Roman" w:hAnsi="Times New Roman"/>
          <w:b w:val="0"/>
          <w:i w:val="0"/>
          <w:sz w:val="24"/>
          <w:szCs w:val="24"/>
        </w:rPr>
        <w:t>Open</w:t>
      </w:r>
      <w:proofErr w:type="spellEnd"/>
      <w:r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i w:val="0"/>
          <w:sz w:val="24"/>
          <w:szCs w:val="24"/>
        </w:rPr>
        <w:t>Market</w:t>
      </w:r>
      <w:proofErr w:type="spellEnd"/>
      <w:r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i w:val="0"/>
          <w:sz w:val="24"/>
          <w:szCs w:val="24"/>
        </w:rPr>
        <w:t>Value</w:t>
      </w:r>
      <w:proofErr w:type="spellEnd"/>
      <w:r>
        <w:rPr>
          <w:rFonts w:ascii="Times New Roman" w:hAnsi="Times New Roman"/>
          <w:b w:val="0"/>
          <w:i w:val="0"/>
          <w:sz w:val="24"/>
          <w:szCs w:val="24"/>
        </w:rPr>
        <w:t>)</w:t>
      </w:r>
      <w:r>
        <w:rPr>
          <w:rFonts w:ascii="Times New Roman" w:hAnsi="Times New Roman"/>
          <w:b w:val="0"/>
          <w:i w:val="0"/>
          <w:sz w:val="24"/>
          <w:szCs w:val="24"/>
          <w:vertAlign w:val="superscript"/>
        </w:rPr>
        <w:footnoteReference w:id="8"/>
      </w:r>
      <w:r>
        <w:rPr>
          <w:rFonts w:ascii="Times New Roman" w:hAnsi="Times New Roman"/>
          <w:b w:val="0"/>
          <w:i w:val="0"/>
          <w:sz w:val="24"/>
          <w:szCs w:val="24"/>
        </w:rPr>
        <w:t>. Данный термин, наряду с понятиями справедливой стоимости (</w:t>
      </w:r>
      <w:proofErr w:type="spellStart"/>
      <w:r>
        <w:rPr>
          <w:rFonts w:ascii="Times New Roman" w:hAnsi="Times New Roman"/>
          <w:b w:val="0"/>
          <w:i w:val="0"/>
          <w:sz w:val="24"/>
          <w:szCs w:val="24"/>
        </w:rPr>
        <w:t>Fair</w:t>
      </w:r>
      <w:proofErr w:type="spellEnd"/>
      <w:r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i w:val="0"/>
          <w:sz w:val="24"/>
          <w:szCs w:val="24"/>
        </w:rPr>
        <w:t>Value</w:t>
      </w:r>
      <w:proofErr w:type="spellEnd"/>
      <w:r>
        <w:rPr>
          <w:rFonts w:ascii="Times New Roman" w:hAnsi="Times New Roman"/>
          <w:b w:val="0"/>
          <w:i w:val="0"/>
          <w:sz w:val="24"/>
          <w:szCs w:val="24"/>
        </w:rPr>
        <w:t>) или справедливой рыночной стоимости (</w:t>
      </w:r>
      <w:proofErr w:type="spellStart"/>
      <w:r>
        <w:rPr>
          <w:rFonts w:ascii="Times New Roman" w:hAnsi="Times New Roman"/>
          <w:b w:val="0"/>
          <w:i w:val="0"/>
          <w:sz w:val="24"/>
          <w:szCs w:val="24"/>
        </w:rPr>
        <w:t>Fair</w:t>
      </w:r>
      <w:proofErr w:type="spellEnd"/>
      <w:r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i w:val="0"/>
          <w:sz w:val="24"/>
          <w:szCs w:val="24"/>
        </w:rPr>
        <w:t>Market</w:t>
      </w:r>
      <w:proofErr w:type="spellEnd"/>
      <w:r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i w:val="0"/>
          <w:sz w:val="24"/>
          <w:szCs w:val="24"/>
        </w:rPr>
        <w:t>Value</w:t>
      </w:r>
      <w:proofErr w:type="spellEnd"/>
      <w:r>
        <w:rPr>
          <w:rFonts w:ascii="Times New Roman" w:hAnsi="Times New Roman"/>
          <w:b w:val="0"/>
          <w:i w:val="0"/>
          <w:sz w:val="24"/>
          <w:szCs w:val="24"/>
        </w:rPr>
        <w:t>), является аналогом термина «рыночная стоимость». В законодательстве по НДС выделяется «стоимость поставки» (</w:t>
      </w:r>
      <w:proofErr w:type="spellStart"/>
      <w:r>
        <w:rPr>
          <w:rFonts w:ascii="Times New Roman" w:hAnsi="Times New Roman"/>
          <w:b w:val="0"/>
          <w:i w:val="0"/>
          <w:sz w:val="24"/>
          <w:szCs w:val="24"/>
        </w:rPr>
        <w:t>value</w:t>
      </w:r>
      <w:proofErr w:type="spellEnd"/>
      <w:r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i w:val="0"/>
          <w:sz w:val="24"/>
          <w:szCs w:val="24"/>
        </w:rPr>
        <w:t>of</w:t>
      </w:r>
      <w:proofErr w:type="spellEnd"/>
      <w:r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i w:val="0"/>
          <w:sz w:val="24"/>
          <w:szCs w:val="24"/>
        </w:rPr>
        <w:t>supply</w:t>
      </w:r>
      <w:proofErr w:type="spellEnd"/>
      <w:r>
        <w:rPr>
          <w:rFonts w:ascii="Times New Roman" w:hAnsi="Times New Roman"/>
          <w:b w:val="0"/>
          <w:i w:val="0"/>
          <w:sz w:val="24"/>
          <w:szCs w:val="24"/>
        </w:rPr>
        <w:t>) и «возмещение за поставку» (</w:t>
      </w:r>
      <w:proofErr w:type="spellStart"/>
      <w:r>
        <w:rPr>
          <w:rFonts w:ascii="Times New Roman" w:hAnsi="Times New Roman"/>
          <w:b w:val="0"/>
          <w:i w:val="0"/>
          <w:sz w:val="24"/>
          <w:szCs w:val="24"/>
        </w:rPr>
        <w:t>the</w:t>
      </w:r>
      <w:proofErr w:type="spellEnd"/>
      <w:r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i w:val="0"/>
          <w:sz w:val="24"/>
          <w:szCs w:val="24"/>
        </w:rPr>
        <w:t>consideration</w:t>
      </w:r>
      <w:proofErr w:type="spellEnd"/>
      <w:r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i w:val="0"/>
          <w:sz w:val="24"/>
          <w:szCs w:val="24"/>
        </w:rPr>
        <w:t>for</w:t>
      </w:r>
      <w:proofErr w:type="spellEnd"/>
      <w:r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i w:val="0"/>
          <w:sz w:val="24"/>
          <w:szCs w:val="24"/>
        </w:rPr>
        <w:t>a</w:t>
      </w:r>
      <w:proofErr w:type="spellEnd"/>
      <w:r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i w:val="0"/>
          <w:sz w:val="24"/>
          <w:szCs w:val="24"/>
        </w:rPr>
        <w:t>supply</w:t>
      </w:r>
      <w:proofErr w:type="spellEnd"/>
      <w:r>
        <w:rPr>
          <w:rFonts w:ascii="Times New Roman" w:hAnsi="Times New Roman"/>
          <w:b w:val="0"/>
          <w:i w:val="0"/>
          <w:sz w:val="24"/>
          <w:szCs w:val="24"/>
        </w:rPr>
        <w:t>). При этом указывается, что «стоимость поставки» - величина без учета НДС, а «возмещение за поставку» - сумма с учетом НДС.  Законодательство предусматривает, что именно «стоимость поставки» является «стоимостью на открытом рынке», т.е. «стоимость на открытом рынке» - величина без учета НДС.</w:t>
      </w:r>
    </w:p>
    <w:p w:rsidR="003175CB" w:rsidRDefault="003175CB" w:rsidP="003175CB">
      <w:pPr>
        <w:pStyle w:val="2"/>
        <w:keepNext w:val="0"/>
        <w:numPr>
          <w:ilvl w:val="1"/>
          <w:numId w:val="8"/>
        </w:numPr>
        <w:spacing w:before="120"/>
        <w:ind w:left="567" w:hanging="567"/>
        <w:jc w:val="both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Если проводить аналогию с законодательством РФ, то «стоимость поставки» - понятие аналогичное цене товара в договорах поставки, и это величина без учета НДС, а «возмещение за поставку» понятие близкое к цене договора (цене сделки) – и эта величина, если не указано иное, будет рассматриваться с учетом всех налогов, сопутствующих поставке товара.</w:t>
      </w:r>
    </w:p>
    <w:p w:rsidR="003175CB" w:rsidRDefault="003175CB" w:rsidP="003175CB">
      <w:pPr>
        <w:pStyle w:val="2"/>
        <w:keepNext w:val="0"/>
        <w:numPr>
          <w:ilvl w:val="1"/>
          <w:numId w:val="8"/>
        </w:numPr>
        <w:spacing w:before="120"/>
        <w:ind w:left="567" w:hanging="567"/>
        <w:jc w:val="both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Аналогичного понимания рыночной стоимости активов придерживается законодательство Российской Федерации о бухгалтерском учете и финансовой отчетности. Так статья 8 Положения по бухгалтерскому учету «Учет основных средств» ПБУ 6/01, утвержденного Приказом Министерства финансов РФ от 30.03.2001г. №26н, указывает, что «…первоначальной стоимостью основных средств, приобретенных за плату, признается сумма фактических затрат организации на приобретение, сооружение и изготовление, за исключением налога на добавленную стоимость и иных возмещаемых налогов…».</w:t>
      </w:r>
    </w:p>
    <w:p w:rsidR="003175CB" w:rsidRDefault="003175CB" w:rsidP="003175CB">
      <w:pPr>
        <w:pStyle w:val="2"/>
        <w:keepLines/>
        <w:numPr>
          <w:ilvl w:val="0"/>
          <w:numId w:val="8"/>
        </w:numPr>
        <w:spacing w:before="120"/>
        <w:jc w:val="both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Применение рыночной стоимости объектов недвижимости для целей налогообложения</w:t>
      </w:r>
    </w:p>
    <w:p w:rsidR="003175CB" w:rsidRDefault="003175CB" w:rsidP="003175CB">
      <w:pPr>
        <w:pStyle w:val="2"/>
        <w:keepNext w:val="0"/>
        <w:keepLines/>
        <w:numPr>
          <w:ilvl w:val="1"/>
          <w:numId w:val="8"/>
        </w:numPr>
        <w:spacing w:before="120"/>
        <w:ind w:left="567" w:hanging="567"/>
        <w:jc w:val="both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 xml:space="preserve">Вышеуказанные положения Налогового кодекса РФ в отношении понимания цен товаров и налогооблагаемой базы применяются, в том числе и к недвижимому имуществу, за исключением недвижимости жилого назначения (квартир). Таким образом, исходя из системного толкования данных норм следует, что </w:t>
      </w:r>
      <w:r>
        <w:rPr>
          <w:rFonts w:ascii="Times New Roman" w:hAnsi="Times New Roman"/>
          <w:i w:val="0"/>
          <w:sz w:val="24"/>
          <w:szCs w:val="24"/>
        </w:rPr>
        <w:t>налоговое законодательство определяет рыночную стоимости объектов недвижимого имущества нежилого назначения как величину, определяемую исходя из цен товаров (работ, услуг) без учета НДС</w:t>
      </w:r>
      <w:r>
        <w:rPr>
          <w:rFonts w:ascii="Times New Roman" w:hAnsi="Times New Roman"/>
          <w:b w:val="0"/>
          <w:i w:val="0"/>
          <w:sz w:val="24"/>
          <w:szCs w:val="24"/>
        </w:rPr>
        <w:t>.</w:t>
      </w:r>
    </w:p>
    <w:p w:rsidR="003175CB" w:rsidRDefault="003175CB" w:rsidP="003175CB">
      <w:pPr>
        <w:pStyle w:val="2"/>
        <w:keepNext w:val="0"/>
        <w:keepLines/>
        <w:numPr>
          <w:ilvl w:val="1"/>
          <w:numId w:val="8"/>
        </w:numPr>
        <w:spacing w:before="120"/>
        <w:ind w:left="567" w:hanging="567"/>
        <w:jc w:val="both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Несмотря на то, что кадастровая стоимость не является понятием тождественным понятию рыночной стоимости, российское законодательство говорит о том, что кадастровая стоимость объектов недвижимости не должна превышать величину их рыночной стоимости и в случае такого превышения предусматривает возможность установления величины кадастровой стоимости в размере рыночной стоимости.</w:t>
      </w:r>
    </w:p>
    <w:p w:rsidR="003175CB" w:rsidRDefault="003175CB" w:rsidP="003175CB">
      <w:pPr>
        <w:pStyle w:val="2"/>
        <w:keepNext w:val="0"/>
        <w:numPr>
          <w:ilvl w:val="1"/>
          <w:numId w:val="8"/>
        </w:numPr>
        <w:spacing w:before="120"/>
        <w:ind w:left="567" w:hanging="567"/>
        <w:jc w:val="both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 xml:space="preserve">Кадастровая стоимость применяется для различных целей, в том числе для планирования и оценки эффективности использования территорий, установления величины арендной платы за землю, изменения вида разрешенного использования земельных участков, и других целей, но одной из наиболее важных сфер применения кадастровой стоимости является налогообложение недвижимого имущества. Так согласно п.2 ст.375 НК РФ налоговая база в отношении отдельных объектов недвижимого имущества определяется как их кадастровая стоимость по состоянию на 1 января года налогового периода в соответствии со </w:t>
      </w:r>
      <w:hyperlink r:id="rId12">
        <w:r>
          <w:rPr>
            <w:rFonts w:ascii="Times New Roman" w:hAnsi="Times New Roman"/>
            <w:b w:val="0"/>
            <w:i w:val="0"/>
            <w:sz w:val="24"/>
            <w:szCs w:val="24"/>
          </w:rPr>
          <w:t>статьей 378.2</w:t>
        </w:r>
      </w:hyperlink>
      <w:r>
        <w:rPr>
          <w:rFonts w:ascii="Times New Roman" w:hAnsi="Times New Roman"/>
          <w:b w:val="0"/>
          <w:i w:val="0"/>
          <w:sz w:val="24"/>
          <w:szCs w:val="24"/>
        </w:rPr>
        <w:t xml:space="preserve"> Налогового </w:t>
      </w:r>
      <w:r>
        <w:rPr>
          <w:rFonts w:ascii="Times New Roman" w:hAnsi="Times New Roman"/>
          <w:b w:val="0"/>
          <w:i w:val="0"/>
          <w:sz w:val="24"/>
          <w:szCs w:val="24"/>
        </w:rPr>
        <w:lastRenderedPageBreak/>
        <w:t>кодекса. Кадастровая стоимость объектов недвижимого имущества определяется в соответствии с положениями Федерального закона от 03.07.2016 №237-ФЗ «О государственной кадастровой оценке». Результаты определения кадастровой стоимости могут быть оспорены в комиссии или в суде на основании установления в отношении объекта недвижимости его рыночной стоимости, определенной на дату, по состоянию на которую определена его кадастровая стоимость (п.7 ст.22 Федерального закона от 03.07.2016 №237-ФЗ «О государственной кадастровой оценке»). Аналогичные положения содержатся и в Федеральном законе от 29.07.1998 N 135-ФЗ «Об оценочной деятельности в Российской Федерации» при рассмотрении споров о результатах определения кадастровой стоимости объектов недвижимости, если она была определена в рамках проведения кадастровой оценки в соответствии с данным федеральным законом.</w:t>
      </w:r>
    </w:p>
    <w:p w:rsidR="003175CB" w:rsidRDefault="003175CB" w:rsidP="003175CB">
      <w:pPr>
        <w:pStyle w:val="2"/>
        <w:keepLines/>
        <w:numPr>
          <w:ilvl w:val="1"/>
          <w:numId w:val="8"/>
        </w:numPr>
        <w:spacing w:before="120"/>
        <w:ind w:left="567" w:hanging="567"/>
        <w:jc w:val="both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В составе объектов недвижимого имущества можно выделить две основных составляющих: права на земельный участок и объект капитального строительства (здания и помещения в них, сооружения и объекты незавершенного строительства). Рыночная стоимость объектов недвижимости для целей рассмотрения споров о результатах определения кадастровой стоимости определяется исходит из наличия права собственности на объект.  При этом операции по реализации земельных участков на праве собственности не облагаются НДС, а операции по реализации объектов капитального строительства подлежат обложению НДС.</w:t>
      </w:r>
    </w:p>
    <w:p w:rsidR="003175CB" w:rsidRDefault="003175CB" w:rsidP="003175CB">
      <w:pPr>
        <w:pStyle w:val="2"/>
        <w:keepLines/>
        <w:numPr>
          <w:ilvl w:val="1"/>
          <w:numId w:val="8"/>
        </w:numPr>
        <w:spacing w:before="120"/>
        <w:ind w:left="567" w:hanging="567"/>
        <w:jc w:val="both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 xml:space="preserve">Под объектами капитального строительства (ОКС) понимается улучшение земельного участка, созданное в результате строительной деятельности. Стоимость ОКС определяется без учета стоимости прав на земельные участки, на которых они расположены. ОКС представляют собой специфические объекты оценки, которые, как правило, не могут выступать в качестве самостоятельного объекта отчуждения. Поэтому, </w:t>
      </w:r>
      <w:r>
        <w:rPr>
          <w:rFonts w:ascii="Times New Roman" w:hAnsi="Times New Roman"/>
          <w:i w:val="0"/>
          <w:sz w:val="24"/>
          <w:szCs w:val="24"/>
        </w:rPr>
        <w:t>оценка рыночной стоимости ОКС для целей рассмотрения споров о результатах определения кадастровой стоимости, имеет ряд существенных методических особенностей</w:t>
      </w:r>
      <w:r>
        <w:rPr>
          <w:rFonts w:ascii="Times New Roman" w:hAnsi="Times New Roman"/>
          <w:b w:val="0"/>
          <w:i w:val="0"/>
          <w:sz w:val="24"/>
          <w:szCs w:val="24"/>
        </w:rPr>
        <w:t>, которые отличают оценку для данных целей от иных ситуаций определения рыночной стоимости.</w:t>
      </w:r>
    </w:p>
    <w:p w:rsidR="003175CB" w:rsidRDefault="003175CB" w:rsidP="003175CB">
      <w:pPr>
        <w:pStyle w:val="2"/>
        <w:keepNext w:val="0"/>
        <w:numPr>
          <w:ilvl w:val="1"/>
          <w:numId w:val="8"/>
        </w:numPr>
        <w:spacing w:before="120"/>
        <w:ind w:left="567" w:hanging="567"/>
        <w:jc w:val="both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Несмотря на отсутствие специальных норм в законодательстве об оценочной деятельности и в федеральных стандартах оценки в отношении учета НДС при определении рыночной стоимости и его отражения в результатах оценки, в понимании рыночной стоимости для целей налогообложения какие-либо противоречия отсутствуют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. </w:t>
      </w:r>
    </w:p>
    <w:p w:rsidR="003175CB" w:rsidRDefault="003175CB" w:rsidP="006A159E">
      <w:pPr>
        <w:pStyle w:val="2"/>
        <w:keepNext w:val="0"/>
        <w:numPr>
          <w:ilvl w:val="0"/>
          <w:numId w:val="11"/>
        </w:numPr>
        <w:spacing w:before="120"/>
        <w:jc w:val="both"/>
        <w:rPr>
          <w:rFonts w:ascii="Times New Roman" w:hAnsi="Times New Roman"/>
          <w:b w:val="0"/>
          <w:i w:val="0"/>
          <w:sz w:val="24"/>
          <w:szCs w:val="24"/>
        </w:rPr>
      </w:pPr>
      <w:bookmarkStart w:id="0" w:name="_GoBack"/>
      <w:r>
        <w:rPr>
          <w:rFonts w:ascii="Times New Roman" w:hAnsi="Times New Roman"/>
          <w:b w:val="0"/>
          <w:i w:val="0"/>
          <w:sz w:val="24"/>
          <w:szCs w:val="24"/>
        </w:rPr>
        <w:t>Рыночная стоимость, в том числе определяемая независимыми оценщиками, может быть использована для установления цен товаров.</w:t>
      </w:r>
    </w:p>
    <w:p w:rsidR="003175CB" w:rsidRDefault="003175CB" w:rsidP="006A159E">
      <w:pPr>
        <w:pStyle w:val="2"/>
        <w:keepNext w:val="0"/>
        <w:numPr>
          <w:ilvl w:val="0"/>
          <w:numId w:val="11"/>
        </w:numPr>
        <w:spacing w:before="12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Под ценами товаров (за исключение розничных цен) понимается величина до начисления на нее налога.</w:t>
      </w:r>
    </w:p>
    <w:p w:rsidR="003175CB" w:rsidRDefault="003175CB" w:rsidP="006A159E">
      <w:pPr>
        <w:pStyle w:val="2"/>
        <w:keepNext w:val="0"/>
        <w:numPr>
          <w:ilvl w:val="0"/>
          <w:numId w:val="11"/>
        </w:numPr>
        <w:spacing w:before="12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Налогообложения недвижимого имущества от величины кадастровой стоимости в принципе не подразумевает реализацию, соответственно определение рыночной стоимости объекта недвижимости в целях дальнейшей его эксплуатации без реализации этого имущества не создает объект налогообложения налогом на добавленную стоимость.</w:t>
      </w:r>
    </w:p>
    <w:bookmarkEnd w:id="0"/>
    <w:p w:rsidR="003175CB" w:rsidRDefault="003175CB" w:rsidP="003175CB">
      <w:pPr>
        <w:pStyle w:val="2"/>
        <w:keepNext w:val="0"/>
        <w:numPr>
          <w:ilvl w:val="1"/>
          <w:numId w:val="8"/>
        </w:numPr>
        <w:spacing w:before="120"/>
        <w:ind w:left="567" w:hanging="567"/>
        <w:jc w:val="both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Также следует учитывать, что законодательство о налогах и сборах основывается на признании всеобщности и равенства налогообложения. Все неустранимые сомнения, противоречия и неясности актов законодательства о налогах и сборах толкуются в пользу налогоплательщика (плательщика сборов) (п.7 ст.3 НК РФ).</w:t>
      </w:r>
    </w:p>
    <w:p w:rsidR="003175CB" w:rsidRDefault="003175CB" w:rsidP="003175CB">
      <w:pPr>
        <w:pStyle w:val="2"/>
        <w:keepNext w:val="0"/>
        <w:numPr>
          <w:ilvl w:val="1"/>
          <w:numId w:val="8"/>
        </w:numPr>
        <w:spacing w:before="120"/>
        <w:ind w:left="567" w:hanging="567"/>
        <w:jc w:val="both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lastRenderedPageBreak/>
        <w:t xml:space="preserve">Исходя из изложенного выше можно сделать вывод, что </w:t>
      </w:r>
      <w:r>
        <w:rPr>
          <w:rFonts w:ascii="Times New Roman" w:hAnsi="Times New Roman"/>
          <w:i w:val="0"/>
          <w:sz w:val="24"/>
          <w:szCs w:val="24"/>
        </w:rPr>
        <w:t>рыночная стоимость объектов недвижимости, определяемая для целей установления в ее размере кадастровой стоимости в рамках рассмотрения споров в комиссии и суде должна определяться без учета НДС</w:t>
      </w:r>
      <w:r>
        <w:rPr>
          <w:rFonts w:ascii="Times New Roman" w:hAnsi="Times New Roman"/>
          <w:b w:val="0"/>
          <w:i w:val="0"/>
          <w:sz w:val="24"/>
          <w:szCs w:val="24"/>
        </w:rPr>
        <w:t>.</w:t>
      </w:r>
    </w:p>
    <w:p w:rsidR="003175CB" w:rsidRDefault="003175CB" w:rsidP="003175CB"/>
    <w:p w:rsidR="003175CB" w:rsidRDefault="003175CB" w:rsidP="003175CB">
      <w:pPr>
        <w:pStyle w:val="2"/>
        <w:keepLines/>
        <w:numPr>
          <w:ilvl w:val="0"/>
          <w:numId w:val="8"/>
        </w:numPr>
        <w:spacing w:before="120"/>
        <w:jc w:val="both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Учет НДС при применении методологии оценки недвижимого имущества</w:t>
      </w:r>
    </w:p>
    <w:p w:rsidR="003175CB" w:rsidRDefault="003175CB" w:rsidP="003175CB">
      <w:pPr>
        <w:pStyle w:val="2"/>
        <w:keepNext w:val="0"/>
        <w:keepLines/>
        <w:numPr>
          <w:ilvl w:val="1"/>
          <w:numId w:val="8"/>
        </w:numPr>
        <w:spacing w:before="120"/>
        <w:ind w:left="567" w:hanging="567"/>
        <w:jc w:val="both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 xml:space="preserve">При проведении оценки, оценщиком должна быть проанализирована методология и информация, применявшаяся при  определении кадастровой стоимости, спор о результатах определения которой подлежит рассмотрению. Это включает анализ применявшихся подходов и использованной рыночной информации. В обязательном порядке анализируется включение или не включение в величину кадастровой стоимости НДС. Результаты анализа должны быть отражены в разделе Отчёта, описывающем объект оценки и права на него. </w:t>
      </w:r>
    </w:p>
    <w:p w:rsidR="003175CB" w:rsidRDefault="003175CB" w:rsidP="003175CB">
      <w:pPr>
        <w:pStyle w:val="2"/>
        <w:keepNext w:val="0"/>
        <w:numPr>
          <w:ilvl w:val="1"/>
          <w:numId w:val="8"/>
        </w:numPr>
        <w:spacing w:before="120"/>
        <w:ind w:left="567" w:hanging="567"/>
        <w:jc w:val="both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При проведении анализа рынка, оценщиком должен быть проанализирован наиболее типичный налоговый статус продавцов для сегмента рынка, к которому относится объект. Допущение о наиболее типичном налоговом статусе продавцов для сегмента рынка должно быть обосновано. Сегмент рынка с точки зрения налогообложения объектов недвижимости может устанавливаться с учетом величины стоимости объекта оценки и сравнения ее с максимальной величиной выручки в одном налоговом периоде, допустимой для применения упрощенной системы налогообложения.</w:t>
      </w:r>
    </w:p>
    <w:p w:rsidR="003175CB" w:rsidRDefault="003175CB" w:rsidP="003175CB">
      <w:pPr>
        <w:pStyle w:val="2"/>
        <w:keepNext w:val="0"/>
        <w:numPr>
          <w:ilvl w:val="1"/>
          <w:numId w:val="8"/>
        </w:numPr>
        <w:spacing w:before="120"/>
        <w:ind w:left="567" w:hanging="567"/>
        <w:jc w:val="both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 xml:space="preserve">В общем случае </w:t>
      </w:r>
      <w:r>
        <w:rPr>
          <w:rFonts w:ascii="Times New Roman" w:hAnsi="Times New Roman"/>
          <w:i w:val="0"/>
          <w:sz w:val="24"/>
          <w:szCs w:val="24"/>
        </w:rPr>
        <w:t>результаты оценки ОКС для целей установления их кадастровой стоимости в размере рыночной стоимости должны определяться без учета НДС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. </w:t>
      </w:r>
    </w:p>
    <w:p w:rsidR="003175CB" w:rsidRDefault="003175CB" w:rsidP="003175CB">
      <w:pPr>
        <w:pStyle w:val="2"/>
        <w:keepNext w:val="0"/>
        <w:numPr>
          <w:ilvl w:val="1"/>
          <w:numId w:val="8"/>
        </w:numPr>
        <w:spacing w:before="120"/>
        <w:ind w:left="567" w:hanging="567"/>
        <w:jc w:val="both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Результаты всех примененных подходов должны иметь одинаковую базу с точки зрения учета НДС в ценах, доходах и затратах.</w:t>
      </w:r>
    </w:p>
    <w:p w:rsidR="003175CB" w:rsidRDefault="003175CB" w:rsidP="003175CB">
      <w:pPr>
        <w:pStyle w:val="2"/>
        <w:keepNext w:val="0"/>
        <w:numPr>
          <w:ilvl w:val="1"/>
          <w:numId w:val="8"/>
        </w:numPr>
        <w:spacing w:before="120"/>
        <w:ind w:left="567" w:hanging="567"/>
        <w:jc w:val="both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 xml:space="preserve">В рамках </w:t>
      </w:r>
      <w:r>
        <w:rPr>
          <w:rFonts w:ascii="Times New Roman" w:hAnsi="Times New Roman"/>
          <w:i w:val="0"/>
          <w:sz w:val="24"/>
          <w:szCs w:val="24"/>
        </w:rPr>
        <w:t>затратного подхода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 при определении величины строительных затрат, стоимости воспроизводства или замещения используются удельные показатели затрат на создание аналогичных объектов, в том числе с использованием специальных справочников, без их корректировки на величину НДС в сторону увеличения.</w:t>
      </w:r>
    </w:p>
    <w:p w:rsidR="003175CB" w:rsidRDefault="003175CB" w:rsidP="003175CB">
      <w:pPr>
        <w:pStyle w:val="2"/>
        <w:keepNext w:val="0"/>
        <w:numPr>
          <w:ilvl w:val="1"/>
          <w:numId w:val="8"/>
        </w:numPr>
        <w:spacing w:before="120"/>
        <w:ind w:left="567" w:hanging="567"/>
        <w:jc w:val="both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 xml:space="preserve">При применения </w:t>
      </w:r>
      <w:r>
        <w:rPr>
          <w:rFonts w:ascii="Times New Roman" w:hAnsi="Times New Roman"/>
          <w:i w:val="0"/>
          <w:sz w:val="24"/>
          <w:szCs w:val="24"/>
        </w:rPr>
        <w:t>сравнительного подхода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 цены предложений по объектам- аналогам корректируются на величину налога. При этом, необходимо учитывать наличие у объекта-аналога прав на землю и наиболее типичную долю стоимость данных прав в составе единого объекта. Корректировка осуществляется в рамках анализа рынка и анализа информации об объектах-аналогах и не должна затрагивать непосредственно расчеты, поскольку статус налогоплательщика, наличие и размер налога не являются </w:t>
      </w:r>
      <w:proofErr w:type="spellStart"/>
      <w:r>
        <w:rPr>
          <w:rFonts w:ascii="Times New Roman" w:hAnsi="Times New Roman"/>
          <w:b w:val="0"/>
          <w:i w:val="0"/>
          <w:sz w:val="24"/>
          <w:szCs w:val="24"/>
        </w:rPr>
        <w:t>ценообразующими</w:t>
      </w:r>
      <w:proofErr w:type="spellEnd"/>
      <w:r>
        <w:rPr>
          <w:rFonts w:ascii="Times New Roman" w:hAnsi="Times New Roman"/>
          <w:b w:val="0"/>
          <w:i w:val="0"/>
          <w:sz w:val="24"/>
          <w:szCs w:val="24"/>
        </w:rPr>
        <w:t xml:space="preserve"> факторами. Внесение корректировок к ценам предложений и ставкам аренды на величину НДС должно быть единообразным для всех объектов-аналогов.</w:t>
      </w:r>
    </w:p>
    <w:p w:rsidR="003175CB" w:rsidRDefault="003175CB" w:rsidP="003175CB">
      <w:pPr>
        <w:pStyle w:val="2"/>
        <w:keepNext w:val="0"/>
        <w:numPr>
          <w:ilvl w:val="1"/>
          <w:numId w:val="8"/>
        </w:numPr>
        <w:spacing w:before="120"/>
        <w:ind w:left="567" w:hanging="567"/>
        <w:jc w:val="both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 xml:space="preserve">В </w:t>
      </w:r>
      <w:r>
        <w:rPr>
          <w:rFonts w:ascii="Times New Roman" w:hAnsi="Times New Roman"/>
          <w:i w:val="0"/>
          <w:sz w:val="24"/>
          <w:szCs w:val="24"/>
        </w:rPr>
        <w:t>доходном подходе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 доходы от аренды или операционной деятельности принимаются без учета НДС. Правила корректировки ставок аренды, цен и выручки для применения в доходном подходе идентичны правилам для сравнительного подхода, описанным выше. База расчетов доходов от эксплуатации объекта недвижимости, с точки зрения налогообложения, должна соответствовать базе определения величины операционных расходов. Следует учитывать, что в </w:t>
      </w:r>
      <w:r>
        <w:rPr>
          <w:rFonts w:ascii="Times New Roman" w:hAnsi="Times New Roman"/>
          <w:b w:val="0"/>
          <w:i w:val="0"/>
          <w:sz w:val="24"/>
          <w:szCs w:val="24"/>
        </w:rPr>
        <w:lastRenderedPageBreak/>
        <w:t>большинстве случаев применяемые ставки доходности, ставки капитализации определены для чистого операционного дохода без включения в него НДС.</w:t>
      </w:r>
    </w:p>
    <w:p w:rsidR="003175CB" w:rsidRDefault="003175CB" w:rsidP="003175CB">
      <w:pPr>
        <w:pStyle w:val="2"/>
        <w:keepNext w:val="0"/>
        <w:numPr>
          <w:ilvl w:val="1"/>
          <w:numId w:val="8"/>
        </w:numPr>
        <w:spacing w:before="120"/>
        <w:ind w:left="567" w:hanging="567"/>
        <w:jc w:val="both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 xml:space="preserve">Расчеты </w:t>
      </w:r>
      <w:r>
        <w:rPr>
          <w:rFonts w:ascii="Times New Roman" w:hAnsi="Times New Roman"/>
          <w:i w:val="0"/>
          <w:sz w:val="24"/>
          <w:szCs w:val="24"/>
        </w:rPr>
        <w:t>в рамках применения метода предполагаемого использования и метода остатка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 при определении рыночной стоимости земельного участка должны проводиться на основе денежных потоков без включения в них НДС, за исключение не подлежащего возмещению налога. Например, при строительстве жилых объектов, реализация которых не облагается НДС, затраты на строительство должны приниматься с учетом налога. В случае, если строительство предполагает создание как жилых помещений, так и нежилых, то НДС в составе затрат следует учитывать только в части, относящейся к жилью. В ином случае результаты определения стоимости единого объекта недвижимости будут включать в себя НДС, и при вычитании стоимости ОКС (затрат на строительство), стоимость земельного участка будет также определена с учетом налога на добавленную стоимость, что категорически не верно.</w:t>
      </w:r>
    </w:p>
    <w:p w:rsidR="003175CB" w:rsidRDefault="003175CB" w:rsidP="003175CB">
      <w:pPr>
        <w:pStyle w:val="2"/>
        <w:keepNext w:val="0"/>
        <w:numPr>
          <w:ilvl w:val="1"/>
          <w:numId w:val="8"/>
        </w:numPr>
        <w:spacing w:before="120"/>
        <w:ind w:left="567" w:hanging="567"/>
        <w:jc w:val="both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В случае, если информация о ценах аналогов или ставках арендной платы не имеет указания на наличие или отсутствие НДС, оценщик может основываться на допущении о наличии или отсутствии НДС с учетом типичных условий оферт по аналогичным объектам, установленным в рамках анализа рынка.</w:t>
      </w:r>
    </w:p>
    <w:p w:rsidR="003175CB" w:rsidRDefault="003175CB" w:rsidP="003175CB"/>
    <w:p w:rsidR="003175CB" w:rsidRDefault="003175CB" w:rsidP="003175CB">
      <w:pPr>
        <w:pStyle w:val="2"/>
        <w:keepLines/>
        <w:numPr>
          <w:ilvl w:val="0"/>
          <w:numId w:val="8"/>
        </w:numPr>
        <w:spacing w:before="120"/>
        <w:jc w:val="both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 xml:space="preserve">Отражение НДС в результатах оценки </w:t>
      </w:r>
    </w:p>
    <w:p w:rsidR="003175CB" w:rsidRDefault="003175CB" w:rsidP="003175CB">
      <w:pPr>
        <w:pStyle w:val="2"/>
        <w:keepNext w:val="0"/>
        <w:numPr>
          <w:ilvl w:val="1"/>
          <w:numId w:val="8"/>
        </w:numPr>
        <w:spacing w:before="120"/>
        <w:ind w:left="567" w:hanging="567"/>
        <w:jc w:val="both"/>
      </w:pPr>
      <w:r>
        <w:rPr>
          <w:rFonts w:ascii="Times New Roman" w:hAnsi="Times New Roman"/>
          <w:b w:val="0"/>
          <w:i w:val="0"/>
          <w:sz w:val="24"/>
          <w:szCs w:val="24"/>
        </w:rPr>
        <w:t xml:space="preserve">С учетом позиции судов высших инстанций </w:t>
      </w:r>
      <w:r>
        <w:rPr>
          <w:rFonts w:ascii="Times New Roman" w:hAnsi="Times New Roman"/>
          <w:i w:val="0"/>
          <w:sz w:val="24"/>
          <w:szCs w:val="24"/>
        </w:rPr>
        <w:t>вывод о величине рыночной стоимости объекта недвижимости не должен включать в себя дополнительных указаний на отсутствие или наличие НДС в ее составе</w:t>
      </w:r>
      <w:r>
        <w:rPr>
          <w:rFonts w:ascii="Times New Roman" w:hAnsi="Times New Roman"/>
          <w:b w:val="0"/>
          <w:i w:val="0"/>
          <w:sz w:val="24"/>
          <w:szCs w:val="24"/>
        </w:rPr>
        <w:t>.</w:t>
      </w:r>
    </w:p>
    <w:p w:rsidR="003175CB" w:rsidRDefault="003175CB" w:rsidP="003175CB">
      <w:pPr>
        <w:pStyle w:val="2"/>
        <w:keepNext w:val="0"/>
        <w:numPr>
          <w:ilvl w:val="1"/>
          <w:numId w:val="8"/>
        </w:numPr>
        <w:spacing w:before="120"/>
        <w:ind w:left="567" w:hanging="567"/>
        <w:jc w:val="both"/>
      </w:pPr>
      <w:r>
        <w:rPr>
          <w:rFonts w:ascii="Times New Roman" w:hAnsi="Times New Roman"/>
          <w:b w:val="0"/>
          <w:i w:val="0"/>
          <w:sz w:val="24"/>
          <w:szCs w:val="24"/>
        </w:rPr>
        <w:t xml:space="preserve">При этом пользователи оценки должны иметь возможность получить однозначное представление об учете налогов при определении стоимости и их включении либо не включении в итоговую величину рыночной стоимости. Исходя из этого </w:t>
      </w:r>
      <w:r>
        <w:rPr>
          <w:rFonts w:ascii="Times New Roman" w:hAnsi="Times New Roman"/>
          <w:i w:val="0"/>
          <w:sz w:val="24"/>
          <w:szCs w:val="24"/>
        </w:rPr>
        <w:t>сведения о включении или не включении НДС в величину рыночной стоимости, а также указание на примененный в рамках расчетов подход в отношении налогов, следует отразить в составе специальных допущений, ограничений применения итоговых результатов оценки или исследовательской части заключения по результатам судебной экспертизы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. </w:t>
      </w:r>
    </w:p>
    <w:p w:rsidR="003175CB" w:rsidRDefault="003175CB" w:rsidP="003175CB">
      <w:pPr>
        <w:rPr>
          <w:sz w:val="24"/>
          <w:szCs w:val="24"/>
        </w:rPr>
      </w:pPr>
    </w:p>
    <w:p w:rsidR="00425FFE" w:rsidRDefault="00425FFE" w:rsidP="003175CB">
      <w:pPr>
        <w:spacing w:line="276" w:lineRule="auto"/>
        <w:jc w:val="center"/>
      </w:pPr>
    </w:p>
    <w:sectPr w:rsidR="00425FFE" w:rsidSect="006A159E">
      <w:headerReference w:type="even" r:id="rId13"/>
      <w:headerReference w:type="default" r:id="rId14"/>
      <w:footerReference w:type="default" r:id="rId15"/>
      <w:footerReference w:type="first" r:id="rId16"/>
      <w:pgSz w:w="11907" w:h="16840"/>
      <w:pgMar w:top="1418" w:right="1134" w:bottom="1418" w:left="1418" w:header="720" w:footer="527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3F5" w:rsidRDefault="000003F5">
      <w:r>
        <w:separator/>
      </w:r>
    </w:p>
  </w:endnote>
  <w:endnote w:type="continuationSeparator" w:id="0">
    <w:p w:rsidR="000003F5" w:rsidRDefault="000003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uturi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tar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BE0" w:rsidRDefault="00B80BE0" w:rsidP="00B80BE0">
    <w:pPr>
      <w:pStyle w:val="afc"/>
      <w:pBdr>
        <w:top w:val="single" w:sz="4" w:space="1" w:color="auto"/>
      </w:pBdr>
      <w:tabs>
        <w:tab w:val="clear" w:pos="9355"/>
      </w:tabs>
      <w:ind w:right="2551"/>
    </w:pPr>
    <w:r>
      <w:t xml:space="preserve">Методические </w:t>
    </w:r>
    <w:r w:rsidR="00483AB4">
      <w:t>разъяснения</w:t>
    </w:r>
    <w:r>
      <w:t xml:space="preserve"> </w:t>
    </w:r>
    <w:r w:rsidR="00483AB4" w:rsidRPr="00483AB4">
      <w:t>по вопросу учета НДС при определении рыночной стоимости объектов недвижимости в рамках установления их кадастровой стоимости</w:t>
    </w:r>
    <w:r>
      <w:t xml:space="preserve"> </w:t>
    </w:r>
    <w:r>
      <w:ptab w:relativeTo="margin" w:alignment="right" w:leader="none"/>
    </w:r>
    <w:r>
      <w:t>-</w:t>
    </w:r>
    <w:r w:rsidR="00CC66E8">
      <w:fldChar w:fldCharType="begin"/>
    </w:r>
    <w:r>
      <w:instrText>PAGE   \* MERGEFORMAT</w:instrText>
    </w:r>
    <w:r w:rsidR="00CC66E8">
      <w:fldChar w:fldCharType="separate"/>
    </w:r>
    <w:r w:rsidR="00E23556">
      <w:rPr>
        <w:noProof/>
      </w:rPr>
      <w:t>8</w:t>
    </w:r>
    <w:r w:rsidR="00CC66E8">
      <w:fldChar w:fldCharType="end"/>
    </w:r>
    <w:r>
      <w:t>-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19140633"/>
      <w:docPartObj>
        <w:docPartGallery w:val="Page Numbers (Bottom of Page)"/>
        <w:docPartUnique/>
      </w:docPartObj>
    </w:sdtPr>
    <w:sdtContent>
      <w:p w:rsidR="00B80BE0" w:rsidRDefault="00CC66E8">
        <w:pPr>
          <w:pStyle w:val="afc"/>
          <w:jc w:val="center"/>
        </w:pPr>
      </w:p>
    </w:sdtContent>
  </w:sdt>
  <w:p w:rsidR="00B80BE0" w:rsidRDefault="00B80BE0">
    <w:pPr>
      <w:pStyle w:val="af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3F5" w:rsidRDefault="000003F5">
      <w:r>
        <w:separator/>
      </w:r>
    </w:p>
  </w:footnote>
  <w:footnote w:type="continuationSeparator" w:id="0">
    <w:p w:rsidR="000003F5" w:rsidRDefault="000003F5">
      <w:r>
        <w:continuationSeparator/>
      </w:r>
    </w:p>
  </w:footnote>
  <w:footnote w:id="1">
    <w:p w:rsidR="003175CB" w:rsidRDefault="003175CB" w:rsidP="003175C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Федеральный закон от 29.07.1998 N 135-ФЗ «Об оценочной деятельности в Российской Федерации», ст.3</w:t>
      </w:r>
    </w:p>
  </w:footnote>
  <w:footnote w:id="2">
    <w:p w:rsidR="003175CB" w:rsidRDefault="003175CB" w:rsidP="003175C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В соответствии с ГОСТ Р 51303-99 </w:t>
      </w:r>
    </w:p>
  </w:footnote>
  <w:footnote w:id="3">
    <w:p w:rsidR="003175CB" w:rsidRDefault="003175CB" w:rsidP="003175C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Международные стандарты оценки, редакций 2020. МСО-104 База стоимости, пп.30.1 и 30.2.</w:t>
      </w:r>
    </w:p>
  </w:footnote>
  <w:footnote w:id="4">
    <w:p w:rsidR="003175CB" w:rsidRDefault="003175CB" w:rsidP="003175C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Международные стандарты оценки (IVS-2020). МСО-104 База стоимости, пункт 210 Транзакционные издержки</w:t>
      </w:r>
    </w:p>
  </w:footnote>
  <w:footnote w:id="5">
    <w:p w:rsidR="003175CB" w:rsidRDefault="003175CB" w:rsidP="003175C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Европейские стандарты оценки (EVS-2016, 8-е издание), ЕСО-5 Результаты оценки, пункт 4.7.1 Налог на добавленную стоимость</w:t>
      </w:r>
    </w:p>
  </w:footnote>
  <w:footnote w:id="6">
    <w:p w:rsidR="003175CB" w:rsidRPr="00B96EF7" w:rsidRDefault="003175CB" w:rsidP="003175C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n-US"/>
        </w:rPr>
      </w:pPr>
      <w:r>
        <w:rPr>
          <w:vertAlign w:val="superscript"/>
        </w:rPr>
        <w:footnoteRef/>
      </w:r>
      <w:r w:rsidRPr="00B96EF7">
        <w:rPr>
          <w:color w:val="000000"/>
          <w:lang w:val="en-US"/>
        </w:rPr>
        <w:t xml:space="preserve"> RICS Valuation - Professional Standards UK </w:t>
      </w:r>
      <w:hyperlink r:id="rId1">
        <w:r w:rsidRPr="006C7F74">
          <w:rPr>
            <w:color w:val="000000"/>
            <w:lang w:val="en-US"/>
          </w:rPr>
          <w:t>https://www.rics.org/globalassets/rics-website/media/upholding-professional-standards/sector-standards/valuation/valuation-professional-standards-uk-2015-revision-rics.pdf</w:t>
        </w:r>
      </w:hyperlink>
      <w:r w:rsidRPr="00B96EF7">
        <w:rPr>
          <w:color w:val="000000"/>
          <w:lang w:val="en-US"/>
        </w:rPr>
        <w:t xml:space="preserve">  </w:t>
      </w:r>
    </w:p>
  </w:footnote>
  <w:footnote w:id="7">
    <w:p w:rsidR="003175CB" w:rsidRDefault="003175CB" w:rsidP="003175C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Щелкунов А.Д. Принцип нейтральности налога на добавленную стоимость. – М.: М-Логос, 2017. – Стр. 15-16. // Источник: https://m-lawbooks.ru/wp-content/uploads/2020/02/032-kniga-prinzip-neytralnosti-naloga-na-dobavlennuy-stoimost.pdf</w:t>
      </w:r>
    </w:p>
  </w:footnote>
  <w:footnote w:id="8">
    <w:p w:rsidR="003175CB" w:rsidRPr="00B96EF7" w:rsidRDefault="003175CB" w:rsidP="003175C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n-US"/>
        </w:rPr>
      </w:pPr>
      <w:r>
        <w:rPr>
          <w:vertAlign w:val="superscript"/>
        </w:rPr>
        <w:footnoteRef/>
      </w:r>
      <w:r w:rsidRPr="00B96EF7">
        <w:rPr>
          <w:color w:val="000000"/>
          <w:lang w:val="en-US"/>
        </w:rPr>
        <w:t xml:space="preserve"> Directive (2006/112/EC) (Principal VAT Directive). // </w:t>
      </w:r>
      <w:r>
        <w:rPr>
          <w:color w:val="000000"/>
        </w:rPr>
        <w:t>Источник</w:t>
      </w:r>
      <w:r w:rsidRPr="00B96EF7">
        <w:rPr>
          <w:color w:val="000000"/>
          <w:lang w:val="en-US"/>
        </w:rPr>
        <w:t>:</w:t>
      </w:r>
      <w:r w:rsidRPr="006C7F74">
        <w:rPr>
          <w:color w:val="000000"/>
          <w:lang w:val="en-US"/>
        </w:rPr>
        <w:t xml:space="preserve"> </w:t>
      </w:r>
      <w:hyperlink r:id="rId2">
        <w:r w:rsidRPr="006C7F74">
          <w:rPr>
            <w:color w:val="000000"/>
            <w:lang w:val="en-US"/>
          </w:rPr>
          <w:t>https://uk.practicallaw.thomsonreuters.com/w-018-9787</w:t>
        </w:r>
      </w:hyperlink>
      <w:r w:rsidRPr="00B96EF7">
        <w:rPr>
          <w:color w:val="000000"/>
          <w:lang w:val="en-US"/>
        </w:rPr>
        <w:t xml:space="preserve">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FFE" w:rsidRDefault="00425FF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</w:p>
  <w:p w:rsidR="00425FFE" w:rsidRDefault="00CC66E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  <w:r>
      <w:rPr>
        <w:color w:val="000000"/>
      </w:rPr>
      <w:fldChar w:fldCharType="begin"/>
    </w:r>
    <w:r w:rsidR="00E9702A">
      <w:rPr>
        <w:color w:val="000000"/>
      </w:rPr>
      <w:instrText>PAGE</w:instrText>
    </w:r>
    <w:r>
      <w:rPr>
        <w:color w:val="000000"/>
      </w:rPr>
      <w:fldChar w:fldCharType="separate"/>
    </w:r>
    <w:r w:rsidR="00B80BE0">
      <w:rPr>
        <w:noProof/>
        <w:color w:val="000000"/>
      </w:rPr>
      <w:t>4</w:t>
    </w:r>
    <w:r>
      <w:rPr>
        <w:color w:val="000000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BE0" w:rsidRPr="00B80BE0" w:rsidRDefault="00B80BE0" w:rsidP="00B80BE0">
    <w:pPr>
      <w:pBdr>
        <w:top w:val="nil"/>
        <w:left w:val="nil"/>
        <w:bottom w:val="single" w:sz="4" w:space="1" w:color="auto"/>
        <w:right w:val="nil"/>
        <w:between w:val="nil"/>
      </w:pBdr>
      <w:tabs>
        <w:tab w:val="center" w:pos="4536"/>
        <w:tab w:val="right" w:pos="9072"/>
      </w:tabs>
      <w:ind w:right="360"/>
    </w:pPr>
    <w:r w:rsidRPr="00B80BE0">
      <w:t>Национальное объединение саморегулируемых организаций оценщиков «Союз СОО»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A7FEF"/>
    <w:multiLevelType w:val="hybridMultilevel"/>
    <w:tmpl w:val="979CA44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34F4CA4"/>
    <w:multiLevelType w:val="multilevel"/>
    <w:tmpl w:val="C592F17A"/>
    <w:lvl w:ilvl="0">
      <w:start w:val="1"/>
      <w:numFmt w:val="decimal"/>
      <w:lvlText w:val="%1"/>
      <w:lvlJc w:val="left"/>
      <w:pPr>
        <w:ind w:left="390" w:hanging="390"/>
      </w:pPr>
    </w:lvl>
    <w:lvl w:ilvl="1">
      <w:start w:val="1"/>
      <w:numFmt w:val="bullet"/>
      <w:lvlText w:val="●"/>
      <w:lvlJc w:val="left"/>
      <w:pPr>
        <w:ind w:left="816" w:hanging="39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2">
      <w:start w:val="1"/>
      <w:numFmt w:val="decimal"/>
      <w:lvlText w:val="%1.●.%3"/>
      <w:lvlJc w:val="left"/>
      <w:pPr>
        <w:ind w:left="720" w:hanging="720"/>
      </w:pPr>
    </w:lvl>
    <w:lvl w:ilvl="3">
      <w:start w:val="1"/>
      <w:numFmt w:val="decimal"/>
      <w:lvlText w:val="%1.●.%3.%4"/>
      <w:lvlJc w:val="left"/>
      <w:pPr>
        <w:ind w:left="720" w:hanging="720"/>
      </w:pPr>
    </w:lvl>
    <w:lvl w:ilvl="4">
      <w:start w:val="1"/>
      <w:numFmt w:val="decimal"/>
      <w:lvlText w:val="%1.●.%3.%4.%5"/>
      <w:lvlJc w:val="left"/>
      <w:pPr>
        <w:ind w:left="1080" w:hanging="1080"/>
      </w:pPr>
    </w:lvl>
    <w:lvl w:ilvl="5">
      <w:start w:val="1"/>
      <w:numFmt w:val="decimal"/>
      <w:lvlText w:val="%1.●.%3.%4.%5.%6"/>
      <w:lvlJc w:val="left"/>
      <w:pPr>
        <w:ind w:left="1080" w:hanging="1080"/>
      </w:pPr>
    </w:lvl>
    <w:lvl w:ilvl="6">
      <w:start w:val="1"/>
      <w:numFmt w:val="decimal"/>
      <w:lvlText w:val="%1.●.%3.%4.%5.%6.%7"/>
      <w:lvlJc w:val="left"/>
      <w:pPr>
        <w:ind w:left="1440" w:hanging="1440"/>
      </w:pPr>
    </w:lvl>
    <w:lvl w:ilvl="7">
      <w:start w:val="1"/>
      <w:numFmt w:val="decimal"/>
      <w:lvlText w:val="%1.●.%3.%4.%5.%6.%7.%8"/>
      <w:lvlJc w:val="left"/>
      <w:pPr>
        <w:ind w:left="1440" w:hanging="1440"/>
      </w:pPr>
    </w:lvl>
    <w:lvl w:ilvl="8">
      <w:start w:val="1"/>
      <w:numFmt w:val="decimal"/>
      <w:lvlText w:val="%1.●.%3.%4.%5.%6.%7.%8.%9"/>
      <w:lvlJc w:val="left"/>
      <w:pPr>
        <w:ind w:left="1800" w:hanging="1800"/>
      </w:pPr>
    </w:lvl>
  </w:abstractNum>
  <w:abstractNum w:abstractNumId="2">
    <w:nsid w:val="241A3409"/>
    <w:multiLevelType w:val="multilevel"/>
    <w:tmpl w:val="FD3EC5F2"/>
    <w:lvl w:ilvl="0">
      <w:start w:val="1"/>
      <w:numFmt w:val="decimal"/>
      <w:lvlText w:val="%1"/>
      <w:lvlJc w:val="left"/>
      <w:pPr>
        <w:ind w:left="390" w:hanging="390"/>
      </w:pPr>
    </w:lvl>
    <w:lvl w:ilvl="1">
      <w:start w:val="1"/>
      <w:numFmt w:val="decimal"/>
      <w:lvlText w:val="%1.%2"/>
      <w:lvlJc w:val="left"/>
      <w:pPr>
        <w:ind w:left="816" w:hanging="39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">
    <w:nsid w:val="489D6DF8"/>
    <w:multiLevelType w:val="multilevel"/>
    <w:tmpl w:val="11BC94FA"/>
    <w:lvl w:ilvl="0">
      <w:start w:val="1"/>
      <w:numFmt w:val="decimal"/>
      <w:pStyle w:val="1"/>
      <w:lvlText w:val="%1"/>
      <w:lvlJc w:val="left"/>
      <w:pPr>
        <w:ind w:left="390" w:hanging="390"/>
      </w:pPr>
    </w:lvl>
    <w:lvl w:ilvl="1">
      <w:start w:val="1"/>
      <w:numFmt w:val="decimal"/>
      <w:pStyle w:val="2"/>
      <w:lvlText w:val="%1.%2"/>
      <w:lvlJc w:val="left"/>
      <w:pPr>
        <w:ind w:left="816" w:hanging="39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2">
      <w:start w:val="1"/>
      <w:numFmt w:val="decimal"/>
      <w:pStyle w:val="3"/>
      <w:lvlText w:val="%1.%2.%3"/>
      <w:lvlJc w:val="left"/>
      <w:pPr>
        <w:ind w:left="3555" w:hanging="720"/>
      </w:pPr>
    </w:lvl>
    <w:lvl w:ilvl="3">
      <w:start w:val="1"/>
      <w:numFmt w:val="decimal"/>
      <w:pStyle w:val="4"/>
      <w:lvlText w:val="%1.%2.%3.%4"/>
      <w:lvlJc w:val="left"/>
      <w:pPr>
        <w:ind w:left="720" w:hanging="720"/>
      </w:pPr>
    </w:lvl>
    <w:lvl w:ilvl="4">
      <w:start w:val="1"/>
      <w:numFmt w:val="decimal"/>
      <w:pStyle w:val="5"/>
      <w:lvlText w:val="%1.%2.%3.%4.%5"/>
      <w:lvlJc w:val="left"/>
      <w:pPr>
        <w:ind w:left="1080" w:hanging="1080"/>
      </w:pPr>
    </w:lvl>
    <w:lvl w:ilvl="5">
      <w:start w:val="1"/>
      <w:numFmt w:val="decimal"/>
      <w:pStyle w:val="6"/>
      <w:lvlText w:val="%1.%2.%3.%4.%5.%6"/>
      <w:lvlJc w:val="left"/>
      <w:pPr>
        <w:ind w:left="1080" w:hanging="1080"/>
      </w:pPr>
    </w:lvl>
    <w:lvl w:ilvl="6">
      <w:start w:val="1"/>
      <w:numFmt w:val="decimal"/>
      <w:pStyle w:val="7"/>
      <w:lvlText w:val="%1.%2.%3.%4.%5.%6.%7"/>
      <w:lvlJc w:val="left"/>
      <w:pPr>
        <w:ind w:left="1440" w:hanging="1440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800" w:hanging="1800"/>
      </w:pPr>
    </w:lvl>
  </w:abstractNum>
  <w:abstractNum w:abstractNumId="4">
    <w:nsid w:val="7BB64581"/>
    <w:multiLevelType w:val="multilevel"/>
    <w:tmpl w:val="5A8ACFEE"/>
    <w:lvl w:ilvl="0">
      <w:start w:val="1"/>
      <w:numFmt w:val="decimal"/>
      <w:lvlText w:val="%1"/>
      <w:lvlJc w:val="left"/>
      <w:pPr>
        <w:ind w:left="390" w:hanging="390"/>
      </w:pPr>
    </w:lvl>
    <w:lvl w:ilvl="1">
      <w:start w:val="1"/>
      <w:numFmt w:val="bullet"/>
      <w:pStyle w:val="10"/>
      <w:lvlText w:val="●"/>
      <w:lvlJc w:val="left"/>
      <w:pPr>
        <w:ind w:left="816" w:hanging="39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2">
      <w:start w:val="1"/>
      <w:numFmt w:val="decimal"/>
      <w:lvlText w:val="%1.●.%3"/>
      <w:lvlJc w:val="left"/>
      <w:pPr>
        <w:ind w:left="3555" w:hanging="720"/>
      </w:pPr>
    </w:lvl>
    <w:lvl w:ilvl="3">
      <w:start w:val="1"/>
      <w:numFmt w:val="decimal"/>
      <w:lvlText w:val="%1.●.%3.%4"/>
      <w:lvlJc w:val="left"/>
      <w:pPr>
        <w:ind w:left="720" w:hanging="720"/>
      </w:pPr>
    </w:lvl>
    <w:lvl w:ilvl="4">
      <w:start w:val="1"/>
      <w:numFmt w:val="decimal"/>
      <w:lvlText w:val="%1.●.%3.%4.%5"/>
      <w:lvlJc w:val="left"/>
      <w:pPr>
        <w:ind w:left="1080" w:hanging="1080"/>
      </w:pPr>
    </w:lvl>
    <w:lvl w:ilvl="5">
      <w:start w:val="1"/>
      <w:numFmt w:val="decimal"/>
      <w:lvlText w:val="%1.●.%3.%4.%5.%6"/>
      <w:lvlJc w:val="left"/>
      <w:pPr>
        <w:ind w:left="1080" w:hanging="1080"/>
      </w:pPr>
    </w:lvl>
    <w:lvl w:ilvl="6">
      <w:start w:val="1"/>
      <w:numFmt w:val="decimal"/>
      <w:lvlText w:val="%1.●.%3.%4.%5.%6.%7"/>
      <w:lvlJc w:val="left"/>
      <w:pPr>
        <w:ind w:left="1440" w:hanging="1440"/>
      </w:pPr>
    </w:lvl>
    <w:lvl w:ilvl="7">
      <w:start w:val="1"/>
      <w:numFmt w:val="decimal"/>
      <w:lvlText w:val="%1.●.%3.%4.%5.%6.%7.%8"/>
      <w:lvlJc w:val="left"/>
      <w:pPr>
        <w:ind w:left="1440" w:hanging="1440"/>
      </w:pPr>
    </w:lvl>
    <w:lvl w:ilvl="8">
      <w:start w:val="1"/>
      <w:numFmt w:val="decimal"/>
      <w:lvlText w:val="%1.●.%3.%4.%5.%6.%7.%8.%9"/>
      <w:lvlJc w:val="left"/>
      <w:pPr>
        <w:ind w:left="1800" w:hanging="1800"/>
      </w:pPr>
    </w:lvl>
  </w:abstractNum>
  <w:num w:numId="1">
    <w:abstractNumId w:val="4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2"/>
  </w:num>
  <w:num w:numId="9">
    <w:abstractNumId w:val="1"/>
  </w:num>
  <w:num w:numId="10">
    <w:abstractNumId w:val="3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425FFE"/>
    <w:rsid w:val="000003F5"/>
    <w:rsid w:val="001F1261"/>
    <w:rsid w:val="002A0B73"/>
    <w:rsid w:val="002C100F"/>
    <w:rsid w:val="003175CB"/>
    <w:rsid w:val="00425FFE"/>
    <w:rsid w:val="00483AB4"/>
    <w:rsid w:val="0058463E"/>
    <w:rsid w:val="005A563F"/>
    <w:rsid w:val="006A159E"/>
    <w:rsid w:val="0072423D"/>
    <w:rsid w:val="007C13C0"/>
    <w:rsid w:val="008D0408"/>
    <w:rsid w:val="00AC5ADD"/>
    <w:rsid w:val="00B80BE0"/>
    <w:rsid w:val="00CC66E8"/>
    <w:rsid w:val="00D23F00"/>
    <w:rsid w:val="00E13897"/>
    <w:rsid w:val="00E23556"/>
    <w:rsid w:val="00E9702A"/>
    <w:rsid w:val="00EA3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7A7"/>
  </w:style>
  <w:style w:type="paragraph" w:styleId="1">
    <w:name w:val="heading 1"/>
    <w:aliases w:val="Head 1"/>
    <w:basedOn w:val="a"/>
    <w:next w:val="a"/>
    <w:link w:val="11"/>
    <w:uiPriority w:val="9"/>
    <w:qFormat/>
    <w:rsid w:val="006467A7"/>
    <w:pPr>
      <w:keepNext/>
      <w:numPr>
        <w:numId w:val="2"/>
      </w:numPr>
      <w:jc w:val="right"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"/>
    <w:qFormat/>
    <w:rsid w:val="006467A7"/>
    <w:pPr>
      <w:keepNext/>
      <w:numPr>
        <w:ilvl w:val="1"/>
        <w:numId w:val="2"/>
      </w:numPr>
      <w:jc w:val="right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6467A7"/>
    <w:pPr>
      <w:keepNext/>
      <w:numPr>
        <w:ilvl w:val="2"/>
        <w:numId w:val="2"/>
      </w:numPr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6467A7"/>
    <w:pPr>
      <w:keepNext/>
      <w:numPr>
        <w:ilvl w:val="3"/>
        <w:numId w:val="2"/>
      </w:numPr>
      <w:tabs>
        <w:tab w:val="left" w:pos="142"/>
        <w:tab w:val="left" w:pos="709"/>
      </w:tabs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6467A7"/>
    <w:pPr>
      <w:keepNext/>
      <w:numPr>
        <w:ilvl w:val="4"/>
        <w:numId w:val="2"/>
      </w:numPr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D42EBB"/>
    <w:pPr>
      <w:numPr>
        <w:ilvl w:val="5"/>
        <w:numId w:val="2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D42EBB"/>
    <w:pPr>
      <w:numPr>
        <w:ilvl w:val="6"/>
        <w:numId w:val="2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D42EBB"/>
    <w:pPr>
      <w:numPr>
        <w:ilvl w:val="7"/>
        <w:numId w:val="2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D42EBB"/>
    <w:pPr>
      <w:numPr>
        <w:ilvl w:val="8"/>
        <w:numId w:val="2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2C100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2C100F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1">
    <w:name w:val="Заголовок 1 Знак"/>
    <w:aliases w:val="Head 1 Знак"/>
    <w:link w:val="1"/>
    <w:uiPriority w:val="9"/>
    <w:locked/>
    <w:rsid w:val="005D310A"/>
    <w:rPr>
      <w:sz w:val="32"/>
    </w:rPr>
  </w:style>
  <w:style w:type="character" w:customStyle="1" w:styleId="20">
    <w:name w:val="Заголовок 2 Знак"/>
    <w:link w:val="2"/>
    <w:uiPriority w:val="9"/>
    <w:rsid w:val="005C6517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5C6517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5C6517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rsid w:val="005C6517"/>
    <w:rPr>
      <w:rFonts w:ascii="Calibri" w:hAnsi="Calibri"/>
      <w:b/>
      <w:bCs/>
      <w:i/>
      <w:iCs/>
      <w:sz w:val="26"/>
      <w:szCs w:val="26"/>
    </w:rPr>
  </w:style>
  <w:style w:type="paragraph" w:styleId="a4">
    <w:name w:val="header"/>
    <w:basedOn w:val="a"/>
    <w:link w:val="a5"/>
    <w:uiPriority w:val="99"/>
    <w:rsid w:val="006467A7"/>
    <w:pPr>
      <w:tabs>
        <w:tab w:val="center" w:pos="4536"/>
        <w:tab w:val="right" w:pos="9072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C6517"/>
  </w:style>
  <w:style w:type="character" w:styleId="a6">
    <w:name w:val="page number"/>
    <w:uiPriority w:val="99"/>
    <w:rsid w:val="006467A7"/>
    <w:rPr>
      <w:rFonts w:cs="Times New Roman"/>
    </w:rPr>
  </w:style>
  <w:style w:type="paragraph" w:styleId="a7">
    <w:name w:val="Body Text"/>
    <w:basedOn w:val="a"/>
    <w:link w:val="a8"/>
    <w:uiPriority w:val="99"/>
    <w:rsid w:val="006467A7"/>
    <w:pPr>
      <w:jc w:val="center"/>
    </w:pPr>
    <w:rPr>
      <w:b/>
      <w:bCs/>
      <w:sz w:val="32"/>
    </w:rPr>
  </w:style>
  <w:style w:type="character" w:customStyle="1" w:styleId="a8">
    <w:name w:val="Основной текст Знак"/>
    <w:basedOn w:val="a0"/>
    <w:link w:val="a7"/>
    <w:uiPriority w:val="99"/>
    <w:semiHidden/>
    <w:rsid w:val="005C6517"/>
  </w:style>
  <w:style w:type="paragraph" w:styleId="21">
    <w:name w:val="Body Text 2"/>
    <w:basedOn w:val="a"/>
    <w:link w:val="22"/>
    <w:uiPriority w:val="99"/>
    <w:rsid w:val="006467A7"/>
    <w:pPr>
      <w:jc w:val="center"/>
    </w:pPr>
    <w:rPr>
      <w:b/>
      <w:bCs/>
      <w:sz w:val="40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5C6517"/>
  </w:style>
  <w:style w:type="paragraph" w:customStyle="1" w:styleId="12">
    <w:name w:val="Заголовок1"/>
    <w:basedOn w:val="a"/>
    <w:rsid w:val="006467A7"/>
    <w:pPr>
      <w:spacing w:after="80"/>
      <w:ind w:left="-567"/>
    </w:pPr>
    <w:rPr>
      <w:rFonts w:ascii="Futuris" w:hAnsi="Futuris"/>
      <w:b/>
      <w:sz w:val="28"/>
    </w:rPr>
  </w:style>
  <w:style w:type="paragraph" w:styleId="31">
    <w:name w:val="Body Text 3"/>
    <w:basedOn w:val="a"/>
    <w:link w:val="32"/>
    <w:uiPriority w:val="99"/>
    <w:rsid w:val="006467A7"/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rsid w:val="005C6517"/>
    <w:rPr>
      <w:sz w:val="16"/>
      <w:szCs w:val="16"/>
    </w:rPr>
  </w:style>
  <w:style w:type="paragraph" w:styleId="a9">
    <w:name w:val="Body Text Indent"/>
    <w:basedOn w:val="a"/>
    <w:link w:val="aa"/>
    <w:uiPriority w:val="99"/>
    <w:rsid w:val="006467A7"/>
    <w:pPr>
      <w:ind w:hanging="426"/>
    </w:pPr>
    <w:rPr>
      <w:sz w:val="24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5C6517"/>
  </w:style>
  <w:style w:type="paragraph" w:styleId="23">
    <w:name w:val="Body Text Indent 2"/>
    <w:basedOn w:val="a"/>
    <w:link w:val="24"/>
    <w:uiPriority w:val="99"/>
    <w:rsid w:val="006467A7"/>
    <w:pPr>
      <w:ind w:left="1560"/>
      <w:jc w:val="both"/>
    </w:pPr>
    <w:rPr>
      <w:sz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5C6517"/>
  </w:style>
  <w:style w:type="paragraph" w:styleId="33">
    <w:name w:val="Body Text Indent 3"/>
    <w:basedOn w:val="a"/>
    <w:link w:val="34"/>
    <w:uiPriority w:val="99"/>
    <w:rsid w:val="006467A7"/>
    <w:pPr>
      <w:ind w:firstLine="567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5C6517"/>
    <w:rPr>
      <w:sz w:val="16"/>
      <w:szCs w:val="16"/>
    </w:rPr>
  </w:style>
  <w:style w:type="character" w:customStyle="1" w:styleId="LucidaStars">
    <w:name w:val="Lucida Stars"/>
    <w:rsid w:val="006467A7"/>
    <w:rPr>
      <w:rFonts w:ascii="Lucida Stars" w:hAnsi="Lucida Stars"/>
      <w:sz w:val="24"/>
    </w:rPr>
  </w:style>
  <w:style w:type="character" w:customStyle="1" w:styleId="-0">
    <w:name w:val="-0"/>
    <w:aliases w:val="5"/>
    <w:rsid w:val="006467A7"/>
  </w:style>
  <w:style w:type="paragraph" w:styleId="ab">
    <w:name w:val="Document Map"/>
    <w:basedOn w:val="a"/>
    <w:link w:val="ac"/>
    <w:uiPriority w:val="99"/>
    <w:semiHidden/>
    <w:rsid w:val="006467A7"/>
    <w:pPr>
      <w:shd w:val="clear" w:color="auto" w:fill="000080"/>
    </w:pPr>
    <w:rPr>
      <w:rFonts w:ascii="Tahoma" w:hAnsi="Tahoma"/>
    </w:rPr>
  </w:style>
  <w:style w:type="character" w:customStyle="1" w:styleId="ac">
    <w:name w:val="Схема документа Знак"/>
    <w:link w:val="ab"/>
    <w:uiPriority w:val="99"/>
    <w:semiHidden/>
    <w:locked/>
    <w:rsid w:val="005D310A"/>
    <w:rPr>
      <w:rFonts w:ascii="Tahoma" w:hAnsi="Tahoma" w:cs="Tahoma"/>
      <w:shd w:val="clear" w:color="auto" w:fill="000080"/>
    </w:rPr>
  </w:style>
  <w:style w:type="paragraph" w:customStyle="1" w:styleId="10">
    <w:name w:val="Иванова ОК1"/>
    <w:rsid w:val="006467A7"/>
    <w:pPr>
      <w:numPr>
        <w:ilvl w:val="1"/>
        <w:numId w:val="1"/>
      </w:numPr>
      <w:tabs>
        <w:tab w:val="num" w:pos="1440"/>
      </w:tabs>
      <w:spacing w:before="120" w:after="120"/>
      <w:ind w:left="1440" w:hanging="360"/>
      <w:jc w:val="both"/>
    </w:pPr>
    <w:rPr>
      <w:rFonts w:ascii="Arial" w:hAnsi="Arial"/>
      <w:sz w:val="22"/>
    </w:rPr>
  </w:style>
  <w:style w:type="paragraph" w:customStyle="1" w:styleId="text">
    <w:name w:val="text"/>
    <w:rsid w:val="006467A7"/>
    <w:pPr>
      <w:tabs>
        <w:tab w:val="left" w:pos="576"/>
        <w:tab w:val="left" w:pos="720"/>
      </w:tabs>
      <w:ind w:firstLine="567"/>
      <w:jc w:val="both"/>
    </w:pPr>
  </w:style>
  <w:style w:type="paragraph" w:styleId="ad">
    <w:name w:val="annotation text"/>
    <w:basedOn w:val="a"/>
    <w:link w:val="ae"/>
    <w:uiPriority w:val="99"/>
    <w:unhideWhenUsed/>
    <w:rsid w:val="000F4A62"/>
    <w:pPr>
      <w:spacing w:after="200" w:line="276" w:lineRule="auto"/>
    </w:pPr>
    <w:rPr>
      <w:rFonts w:ascii="Calibri" w:hAnsi="Calibri"/>
      <w:lang w:eastAsia="en-US"/>
    </w:rPr>
  </w:style>
  <w:style w:type="character" w:customStyle="1" w:styleId="ae">
    <w:name w:val="Текст примечания Знак"/>
    <w:link w:val="ad"/>
    <w:uiPriority w:val="99"/>
    <w:locked/>
    <w:rsid w:val="000F4A62"/>
    <w:rPr>
      <w:rFonts w:ascii="Calibri" w:eastAsia="Times New Roman" w:hAnsi="Calibri"/>
      <w:lang w:eastAsia="en-US"/>
    </w:rPr>
  </w:style>
  <w:style w:type="character" w:styleId="af">
    <w:name w:val="annotation reference"/>
    <w:uiPriority w:val="99"/>
    <w:unhideWhenUsed/>
    <w:rsid w:val="000F4A62"/>
    <w:rPr>
      <w:sz w:val="16"/>
    </w:rPr>
  </w:style>
  <w:style w:type="paragraph" w:styleId="af0">
    <w:name w:val="Balloon Text"/>
    <w:basedOn w:val="a"/>
    <w:link w:val="af1"/>
    <w:uiPriority w:val="99"/>
    <w:rsid w:val="000F4A62"/>
    <w:rPr>
      <w:rFonts w:ascii="Segoe UI" w:hAnsi="Segoe UI"/>
      <w:sz w:val="18"/>
    </w:rPr>
  </w:style>
  <w:style w:type="character" w:customStyle="1" w:styleId="af1">
    <w:name w:val="Текст выноски Знак"/>
    <w:link w:val="af0"/>
    <w:uiPriority w:val="99"/>
    <w:locked/>
    <w:rsid w:val="000F4A62"/>
    <w:rPr>
      <w:rFonts w:ascii="Segoe UI" w:hAnsi="Segoe UI"/>
      <w:sz w:val="18"/>
    </w:rPr>
  </w:style>
  <w:style w:type="paragraph" w:styleId="af2">
    <w:name w:val="annotation subject"/>
    <w:basedOn w:val="ad"/>
    <w:next w:val="ad"/>
    <w:link w:val="af3"/>
    <w:uiPriority w:val="99"/>
    <w:rsid w:val="00E51674"/>
    <w:pPr>
      <w:spacing w:after="0" w:line="240" w:lineRule="auto"/>
    </w:pPr>
    <w:rPr>
      <w:b/>
    </w:rPr>
  </w:style>
  <w:style w:type="character" w:customStyle="1" w:styleId="af3">
    <w:name w:val="Тема примечания Знак"/>
    <w:link w:val="af2"/>
    <w:uiPriority w:val="99"/>
    <w:locked/>
    <w:rsid w:val="00E51674"/>
    <w:rPr>
      <w:rFonts w:ascii="Calibri" w:eastAsia="Times New Roman" w:hAnsi="Calibri"/>
      <w:b/>
      <w:lang w:eastAsia="en-US"/>
    </w:rPr>
  </w:style>
  <w:style w:type="paragraph" w:customStyle="1" w:styleId="13">
    <w:name w:val="Рецензия1"/>
    <w:hidden/>
    <w:uiPriority w:val="99"/>
    <w:semiHidden/>
    <w:rsid w:val="00C17348"/>
  </w:style>
  <w:style w:type="character" w:styleId="af4">
    <w:name w:val="Hyperlink"/>
    <w:uiPriority w:val="99"/>
    <w:unhideWhenUsed/>
    <w:rsid w:val="00DA4F61"/>
    <w:rPr>
      <w:color w:val="0000FF"/>
      <w:u w:val="single"/>
    </w:rPr>
  </w:style>
  <w:style w:type="character" w:customStyle="1" w:styleId="apple-converted-space">
    <w:name w:val="apple-converted-space"/>
    <w:rsid w:val="00F61E9A"/>
    <w:rPr>
      <w:rFonts w:cs="Times New Roman"/>
    </w:rPr>
  </w:style>
  <w:style w:type="paragraph" w:customStyle="1" w:styleId="14">
    <w:name w:val="Абзац списка1"/>
    <w:basedOn w:val="a"/>
    <w:uiPriority w:val="34"/>
    <w:qFormat/>
    <w:rsid w:val="007D0BE4"/>
    <w:pPr>
      <w:ind w:left="720"/>
      <w:contextualSpacing/>
    </w:pPr>
  </w:style>
  <w:style w:type="paragraph" w:customStyle="1" w:styleId="15">
    <w:name w:val="Заголовок оглавления1"/>
    <w:basedOn w:val="1"/>
    <w:next w:val="a"/>
    <w:uiPriority w:val="39"/>
    <w:semiHidden/>
    <w:unhideWhenUsed/>
    <w:qFormat/>
    <w:rsid w:val="007D0BE4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16">
    <w:name w:val="toc 1"/>
    <w:basedOn w:val="a"/>
    <w:next w:val="a"/>
    <w:autoRedefine/>
    <w:uiPriority w:val="39"/>
    <w:rsid w:val="00AC5ADD"/>
    <w:pPr>
      <w:tabs>
        <w:tab w:val="left" w:pos="400"/>
        <w:tab w:val="right" w:leader="dot" w:pos="9356"/>
      </w:tabs>
      <w:spacing w:after="100"/>
      <w:ind w:right="-1"/>
    </w:pPr>
    <w:rPr>
      <w:b/>
      <w:noProof/>
      <w:sz w:val="24"/>
      <w:szCs w:val="24"/>
    </w:rPr>
  </w:style>
  <w:style w:type="character" w:customStyle="1" w:styleId="af5">
    <w:name w:val="Цветовое выделение"/>
    <w:uiPriority w:val="99"/>
    <w:rsid w:val="00BB51D9"/>
    <w:rPr>
      <w:b/>
      <w:color w:val="26282F"/>
    </w:rPr>
  </w:style>
  <w:style w:type="paragraph" w:styleId="af6">
    <w:name w:val="Normal (Web)"/>
    <w:basedOn w:val="a"/>
    <w:uiPriority w:val="99"/>
    <w:unhideWhenUsed/>
    <w:rsid w:val="00CC0FB3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6C6B0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5D310A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locked/>
    <w:rsid w:val="005D310A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5D310A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Конец формы Знак"/>
    <w:link w:val="z-1"/>
    <w:uiPriority w:val="99"/>
    <w:locked/>
    <w:rsid w:val="005D310A"/>
    <w:rPr>
      <w:rFonts w:ascii="Arial" w:hAnsi="Arial" w:cs="Arial"/>
      <w:vanish/>
      <w:sz w:val="16"/>
      <w:szCs w:val="16"/>
    </w:rPr>
  </w:style>
  <w:style w:type="character" w:styleId="af7">
    <w:name w:val="FollowedHyperlink"/>
    <w:uiPriority w:val="99"/>
    <w:unhideWhenUsed/>
    <w:rsid w:val="005D310A"/>
    <w:rPr>
      <w:rFonts w:cs="Times New Roman"/>
      <w:color w:val="800080"/>
      <w:u w:val="single"/>
    </w:rPr>
  </w:style>
  <w:style w:type="character" w:styleId="af8">
    <w:name w:val="Strong"/>
    <w:uiPriority w:val="22"/>
    <w:qFormat/>
    <w:rsid w:val="005D310A"/>
    <w:rPr>
      <w:rFonts w:cs="Times New Roman"/>
      <w:b/>
      <w:bCs/>
    </w:rPr>
  </w:style>
  <w:style w:type="paragraph" w:styleId="af9">
    <w:name w:val="Revision"/>
    <w:hidden/>
    <w:uiPriority w:val="99"/>
    <w:semiHidden/>
    <w:rsid w:val="0087757D"/>
  </w:style>
  <w:style w:type="character" w:customStyle="1" w:styleId="afa">
    <w:name w:val="Гипертекстовая ссылка"/>
    <w:uiPriority w:val="99"/>
    <w:rsid w:val="00A025BE"/>
    <w:rPr>
      <w:b/>
      <w:color w:val="106BBE"/>
    </w:rPr>
  </w:style>
  <w:style w:type="paragraph" w:customStyle="1" w:styleId="17">
    <w:name w:val="Абзац списка1"/>
    <w:basedOn w:val="a"/>
    <w:uiPriority w:val="34"/>
    <w:qFormat/>
    <w:rsid w:val="00CD0BB1"/>
    <w:pPr>
      <w:ind w:left="720"/>
      <w:contextualSpacing/>
    </w:pPr>
  </w:style>
  <w:style w:type="paragraph" w:customStyle="1" w:styleId="s1">
    <w:name w:val="s_1"/>
    <w:basedOn w:val="a"/>
    <w:rsid w:val="00493E9A"/>
    <w:pPr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basedOn w:val="a0"/>
    <w:rsid w:val="00493E9A"/>
  </w:style>
  <w:style w:type="paragraph" w:styleId="HTML">
    <w:name w:val="HTML Preformatted"/>
    <w:basedOn w:val="a"/>
    <w:link w:val="HTML0"/>
    <w:uiPriority w:val="99"/>
    <w:unhideWhenUsed/>
    <w:rsid w:val="001C79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1C7959"/>
    <w:rPr>
      <w:rFonts w:ascii="Courier New" w:hAnsi="Courier New" w:cs="Courier New"/>
    </w:rPr>
  </w:style>
  <w:style w:type="character" w:customStyle="1" w:styleId="60">
    <w:name w:val="Заголовок 6 Знак"/>
    <w:link w:val="6"/>
    <w:semiHidden/>
    <w:rsid w:val="00D42EBB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link w:val="7"/>
    <w:semiHidden/>
    <w:rsid w:val="00D42EBB"/>
    <w:rPr>
      <w:rFonts w:ascii="Calibri" w:hAnsi="Calibri"/>
      <w:sz w:val="24"/>
      <w:szCs w:val="24"/>
    </w:rPr>
  </w:style>
  <w:style w:type="character" w:customStyle="1" w:styleId="80">
    <w:name w:val="Заголовок 8 Знак"/>
    <w:link w:val="8"/>
    <w:semiHidden/>
    <w:rsid w:val="00D42EBB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link w:val="9"/>
    <w:semiHidden/>
    <w:rsid w:val="00D42EBB"/>
    <w:rPr>
      <w:rFonts w:ascii="Cambria" w:hAnsi="Cambria"/>
      <w:sz w:val="22"/>
      <w:szCs w:val="22"/>
    </w:rPr>
  </w:style>
  <w:style w:type="paragraph" w:styleId="25">
    <w:name w:val="toc 2"/>
    <w:basedOn w:val="a"/>
    <w:next w:val="a"/>
    <w:autoRedefine/>
    <w:uiPriority w:val="39"/>
    <w:rsid w:val="000E2B29"/>
    <w:pPr>
      <w:ind w:left="200"/>
    </w:pPr>
  </w:style>
  <w:style w:type="paragraph" w:styleId="35">
    <w:name w:val="toc 3"/>
    <w:basedOn w:val="a"/>
    <w:next w:val="a"/>
    <w:autoRedefine/>
    <w:uiPriority w:val="39"/>
    <w:rsid w:val="000E2B29"/>
    <w:pPr>
      <w:ind w:left="400"/>
    </w:pPr>
  </w:style>
  <w:style w:type="paragraph" w:styleId="afb">
    <w:name w:val="List Paragraph"/>
    <w:basedOn w:val="a"/>
    <w:uiPriority w:val="34"/>
    <w:qFormat/>
    <w:rsid w:val="007F3F6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c">
    <w:name w:val="footer"/>
    <w:basedOn w:val="a"/>
    <w:link w:val="afd"/>
    <w:uiPriority w:val="99"/>
    <w:rsid w:val="00B107FC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B107FC"/>
  </w:style>
  <w:style w:type="paragraph" w:styleId="afe">
    <w:name w:val="Subtitle"/>
    <w:basedOn w:val="a"/>
    <w:next w:val="a"/>
    <w:rsid w:val="002C100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41">
    <w:name w:val="toc 4"/>
    <w:basedOn w:val="a"/>
    <w:next w:val="a"/>
    <w:autoRedefine/>
    <w:uiPriority w:val="39"/>
    <w:unhideWhenUsed/>
    <w:rsid w:val="00B80BE0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B80BE0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B80BE0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B80BE0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81">
    <w:name w:val="toc 8"/>
    <w:basedOn w:val="a"/>
    <w:next w:val="a"/>
    <w:autoRedefine/>
    <w:uiPriority w:val="39"/>
    <w:unhideWhenUsed/>
    <w:rsid w:val="00B80BE0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91">
    <w:name w:val="toc 9"/>
    <w:basedOn w:val="a"/>
    <w:next w:val="a"/>
    <w:autoRedefine/>
    <w:uiPriority w:val="39"/>
    <w:unhideWhenUsed/>
    <w:rsid w:val="00B80BE0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styleId="aff">
    <w:name w:val="TOC Heading"/>
    <w:basedOn w:val="1"/>
    <w:next w:val="a"/>
    <w:uiPriority w:val="39"/>
    <w:unhideWhenUsed/>
    <w:qFormat/>
    <w:rsid w:val="00B80BE0"/>
    <w:pPr>
      <w:keepLines/>
      <w:numPr>
        <w:numId w:val="0"/>
      </w:numPr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about:blan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about:blank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about:blank" TargetMode="External"/><Relationship Id="rId4" Type="http://schemas.openxmlformats.org/officeDocument/2006/relationships/styles" Target="styles.xml"/><Relationship Id="rId9" Type="http://schemas.openxmlformats.org/officeDocument/2006/relationships/hyperlink" Target="about:blank" TargetMode="External"/><Relationship Id="rId14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uk.practicallaw.thomsonreuters.com/w-018-9787" TargetMode="External"/><Relationship Id="rId1" Type="http://schemas.openxmlformats.org/officeDocument/2006/relationships/hyperlink" Target="https://www.rics.org/globalassets/rics-website/media/upholding-professional-standards/sector-standards/valuation/valuation-professional-standards-uk-2015-revision-rics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vancmDrTFT/Ltml7zlBW5+iRsw==">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63BC097-73EA-4883-AA21-F0EBC4AF2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3062</Words>
  <Characters>17456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Kartsev</dc:creator>
  <cp:lastModifiedBy>Михаил</cp:lastModifiedBy>
  <cp:revision>3</cp:revision>
  <dcterms:created xsi:type="dcterms:W3CDTF">2020-05-24T22:31:00Z</dcterms:created>
  <dcterms:modified xsi:type="dcterms:W3CDTF">2020-05-24T22:32:00Z</dcterms:modified>
</cp:coreProperties>
</file>